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76C101AC" w14:textId="2D0F5991" w:rsidR="007115B4" w:rsidRPr="00E354FA" w:rsidRDefault="007115B4" w:rsidP="007115B4">
      <w:pPr>
        <w:jc w:val="center"/>
        <w:rPr>
          <w:rFonts w:ascii="Arial" w:hAnsi="Arial" w:cs="Arial"/>
          <w:b/>
          <w:bCs/>
          <w:sz w:val="32"/>
          <w:szCs w:val="32"/>
          <w:lang w:val="es-ES"/>
        </w:rPr>
      </w:pPr>
      <w:r w:rsidRPr="00E354FA">
        <w:rPr>
          <w:rFonts w:ascii="Arial" w:hAnsi="Arial" w:cs="Arial"/>
          <w:b/>
          <w:bCs/>
          <w:sz w:val="32"/>
          <w:lang w:val="es-ES"/>
        </w:rPr>
        <w:t xml:space="preserve">Mazda cierra el año fiscal con un beneficio </w:t>
      </w:r>
      <w:r w:rsidR="00095AFF">
        <w:rPr>
          <w:rFonts w:ascii="Arial" w:hAnsi="Arial" w:cs="Arial"/>
          <w:b/>
          <w:bCs/>
          <w:sz w:val="32"/>
          <w:lang w:val="es-ES"/>
        </w:rPr>
        <w:br/>
      </w:r>
      <w:r w:rsidRPr="00E354FA">
        <w:rPr>
          <w:rFonts w:ascii="Arial" w:hAnsi="Arial" w:cs="Arial"/>
          <w:b/>
          <w:bCs/>
          <w:sz w:val="32"/>
          <w:lang w:val="es-ES"/>
        </w:rPr>
        <w:t>de explotación positivo</w:t>
      </w:r>
    </w:p>
    <w:p w14:paraId="79ABEBDA" w14:textId="77777777" w:rsidR="00C83E11" w:rsidRPr="007F6D18" w:rsidRDefault="00C83E11" w:rsidP="00C83E11">
      <w:pPr>
        <w:jc w:val="center"/>
        <w:rPr>
          <w:rFonts w:ascii="Arial" w:hAnsi="Arial" w:cs="Arial"/>
          <w:b/>
          <w:bCs/>
          <w:sz w:val="32"/>
          <w:szCs w:val="32"/>
          <w:lang w:val="es-ES"/>
        </w:rPr>
      </w:pPr>
    </w:p>
    <w:p w14:paraId="2ECC42A1" w14:textId="617B99B2" w:rsidR="007115B4" w:rsidRPr="007115B4" w:rsidRDefault="007115B4" w:rsidP="00C83E11">
      <w:pPr>
        <w:pStyle w:val="ListParagraph"/>
        <w:keepLines w:val="0"/>
        <w:numPr>
          <w:ilvl w:val="0"/>
          <w:numId w:val="5"/>
        </w:numPr>
        <w:tabs>
          <w:tab w:val="clear" w:pos="1320"/>
        </w:tabs>
        <w:suppressAutoHyphens w:val="0"/>
        <w:spacing w:after="0" w:line="360" w:lineRule="auto"/>
        <w:rPr>
          <w:rFonts w:ascii="Arial" w:hAnsi="Arial" w:cs="Arial"/>
          <w:b/>
          <w:sz w:val="32"/>
          <w:szCs w:val="32"/>
        </w:rPr>
      </w:pPr>
      <w:r w:rsidRPr="007115B4">
        <w:rPr>
          <w:rFonts w:ascii="Arial" w:hAnsi="Arial" w:cs="Arial"/>
          <w:sz w:val="21"/>
        </w:rPr>
        <w:t>La fuerte recuperación durante la segunda mitad del año fiscal deja las cuentas en positivo</w:t>
      </w:r>
      <w:r w:rsidR="00E354FA">
        <w:rPr>
          <w:rFonts w:ascii="Arial" w:hAnsi="Arial" w:cs="Arial"/>
          <w:sz w:val="21"/>
        </w:rPr>
        <w:t>.</w:t>
      </w:r>
    </w:p>
    <w:p w14:paraId="3C310813" w14:textId="2CBF66B5" w:rsidR="00C83E11" w:rsidRPr="007115B4" w:rsidRDefault="007115B4" w:rsidP="00C83E11">
      <w:pPr>
        <w:pStyle w:val="ListParagraph"/>
        <w:keepLines w:val="0"/>
        <w:numPr>
          <w:ilvl w:val="0"/>
          <w:numId w:val="5"/>
        </w:numPr>
        <w:tabs>
          <w:tab w:val="clear" w:pos="1320"/>
        </w:tabs>
        <w:suppressAutoHyphens w:val="0"/>
        <w:spacing w:after="0" w:line="360" w:lineRule="auto"/>
        <w:rPr>
          <w:rFonts w:ascii="Arial" w:hAnsi="Arial" w:cs="Arial"/>
          <w:b/>
          <w:sz w:val="32"/>
          <w:szCs w:val="32"/>
        </w:rPr>
      </w:pPr>
      <w:r w:rsidRPr="007115B4">
        <w:rPr>
          <w:rFonts w:ascii="Arial" w:hAnsi="Arial" w:cs="Arial"/>
          <w:sz w:val="21"/>
        </w:rPr>
        <w:t>Buenas perspectivas de ventas y beneficios a pesar de la complejidad del entorno de mercado</w:t>
      </w:r>
      <w:r w:rsidR="00C83E11" w:rsidRPr="007115B4">
        <w:rPr>
          <w:rFonts w:ascii="Arial" w:hAnsi="Arial" w:cs="Arial"/>
          <w:sz w:val="21"/>
          <w:szCs w:val="21"/>
        </w:rPr>
        <w:t>.</w:t>
      </w:r>
      <w:r w:rsidR="00C83E11" w:rsidRPr="007115B4">
        <w:rPr>
          <w:rFonts w:ascii="Arial" w:hAnsi="Arial" w:cs="Arial"/>
          <w:b/>
          <w:sz w:val="32"/>
          <w:szCs w:val="32"/>
        </w:rPr>
        <w:t xml:space="preserve"> </w:t>
      </w:r>
    </w:p>
    <w:p w14:paraId="129DA3BF" w14:textId="77777777" w:rsidR="00B76CD0" w:rsidRPr="00C83E11" w:rsidRDefault="00B76CD0" w:rsidP="00E203C3">
      <w:pPr>
        <w:pStyle w:val="NormalWeb"/>
        <w:spacing w:after="0" w:line="360" w:lineRule="auto"/>
        <w:rPr>
          <w:rFonts w:ascii="Arial" w:hAnsi="Arial" w:cs="Arial"/>
          <w:b/>
          <w:kern w:val="2"/>
          <w:sz w:val="20"/>
          <w:szCs w:val="20"/>
          <w:lang w:eastAsia="ja-JP"/>
        </w:rPr>
      </w:pPr>
    </w:p>
    <w:p w14:paraId="322CFF0C" w14:textId="77777777" w:rsidR="007115B4" w:rsidRPr="00E354FA" w:rsidRDefault="007115B4" w:rsidP="007115B4">
      <w:pPr>
        <w:adjustRightInd w:val="0"/>
        <w:spacing w:after="120" w:line="360" w:lineRule="auto"/>
        <w:jc w:val="both"/>
        <w:rPr>
          <w:rFonts w:ascii="Arial" w:hAnsi="Arial" w:cs="Arial"/>
          <w:kern w:val="2"/>
          <w:sz w:val="20"/>
          <w:szCs w:val="20"/>
          <w:lang w:val="es-ES"/>
        </w:rPr>
      </w:pPr>
      <w:r w:rsidRPr="00E354FA">
        <w:rPr>
          <w:rFonts w:ascii="Arial" w:hAnsi="Arial" w:cs="Arial"/>
          <w:b/>
          <w:sz w:val="20"/>
          <w:lang w:val="es-ES"/>
        </w:rPr>
        <w:t>Madrid, 14 de mayo de 2021.</w:t>
      </w:r>
      <w:r w:rsidRPr="00E354FA">
        <w:rPr>
          <w:rFonts w:ascii="Arial" w:hAnsi="Arial" w:cs="Arial"/>
          <w:sz w:val="20"/>
          <w:lang w:val="es-ES"/>
        </w:rPr>
        <w:t xml:space="preserve"> </w:t>
      </w:r>
      <w:bookmarkStart w:id="0" w:name="_Hlk71889591"/>
      <w:r w:rsidRPr="00E354FA">
        <w:rPr>
          <w:rFonts w:ascii="Arial" w:hAnsi="Arial" w:cs="Arial"/>
          <w:sz w:val="20"/>
          <w:lang w:val="es-ES"/>
        </w:rPr>
        <w:t xml:space="preserve">Mazda Motor Corporation ha hecho públicos hoy sus resultados financieros y de ventas correspondientes a los doce meses del ejercicio finalizado el 31 de marzo de 2021. Las ventas de vehículos alcanzaron un total de 1.287.000 unidades. </w:t>
      </w:r>
    </w:p>
    <w:bookmarkEnd w:id="0"/>
    <w:p w14:paraId="799C66F7" w14:textId="4BD80210" w:rsidR="007115B4" w:rsidRPr="00E354FA" w:rsidRDefault="007115B4" w:rsidP="007115B4">
      <w:pPr>
        <w:adjustRightInd w:val="0"/>
        <w:spacing w:after="120" w:line="360" w:lineRule="auto"/>
        <w:jc w:val="both"/>
        <w:rPr>
          <w:rFonts w:ascii="Arial" w:hAnsi="Arial" w:cs="Arial"/>
          <w:kern w:val="2"/>
          <w:sz w:val="20"/>
          <w:szCs w:val="20"/>
          <w:lang w:val="es-ES"/>
        </w:rPr>
      </w:pPr>
      <w:r w:rsidRPr="00E354FA">
        <w:rPr>
          <w:rFonts w:ascii="Arial" w:hAnsi="Arial" w:cs="Arial"/>
          <w:sz w:val="20"/>
          <w:lang w:val="es-ES"/>
        </w:rPr>
        <w:t>En sus dos mercados más importantes, Norteamérica y China, el volumen de ventas de Mazda creció con respecto al año fiscal anterior, con unas ventas totales de 403.000 unidades (+2%) y 228</w:t>
      </w:r>
      <w:r w:rsidR="00E354FA">
        <w:rPr>
          <w:rFonts w:ascii="Arial" w:hAnsi="Arial" w:cs="Arial"/>
          <w:sz w:val="20"/>
          <w:lang w:val="es-ES"/>
        </w:rPr>
        <w:t>.</w:t>
      </w:r>
      <w:r w:rsidRPr="00E354FA">
        <w:rPr>
          <w:rFonts w:ascii="Arial" w:hAnsi="Arial" w:cs="Arial"/>
          <w:sz w:val="20"/>
          <w:lang w:val="es-ES"/>
        </w:rPr>
        <w:t>000 (+8%), respectivamente. En Japón, su mercado doméstico, Mazda vendió 176.000 unidades (-13%).</w:t>
      </w:r>
    </w:p>
    <w:p w14:paraId="748C1638" w14:textId="77777777" w:rsidR="007115B4" w:rsidRPr="00E354FA" w:rsidRDefault="007115B4" w:rsidP="007115B4">
      <w:pPr>
        <w:adjustRightInd w:val="0"/>
        <w:spacing w:after="120" w:line="360" w:lineRule="auto"/>
        <w:jc w:val="both"/>
        <w:rPr>
          <w:rFonts w:ascii="Arial" w:hAnsi="Arial" w:cs="Arial"/>
          <w:sz w:val="20"/>
          <w:szCs w:val="20"/>
          <w:lang w:val="es-ES"/>
        </w:rPr>
      </w:pPr>
      <w:r w:rsidRPr="00E354FA">
        <w:rPr>
          <w:rFonts w:ascii="Arial" w:hAnsi="Arial" w:cs="Arial"/>
          <w:sz w:val="20"/>
          <w:lang w:val="es-ES"/>
        </w:rPr>
        <w:t>La evolución de las ventas de Mazda en Europa* se vieron afectadas por la pandemia de COVID-19 y por la prolongación de las restricciones y los confinamientos en muchos mercados. Las ventas en la región totalizaron 178.000 unidades (-32%).</w:t>
      </w:r>
    </w:p>
    <w:p w14:paraId="7695D971" w14:textId="23E5E07A" w:rsidR="007115B4" w:rsidRPr="00C76E1B" w:rsidRDefault="007115B4" w:rsidP="007115B4">
      <w:pPr>
        <w:pStyle w:val="s3"/>
        <w:spacing w:before="0" w:beforeAutospacing="0" w:after="120" w:afterAutospacing="0" w:line="360" w:lineRule="auto"/>
        <w:jc w:val="both"/>
        <w:rPr>
          <w:rStyle w:val="bumpedfont20"/>
          <w:rFonts w:ascii="Arial" w:hAnsi="Arial" w:cs="Arial"/>
          <w:sz w:val="20"/>
          <w:szCs w:val="20"/>
        </w:rPr>
      </w:pPr>
      <w:r w:rsidRPr="00C76E1B">
        <w:rPr>
          <w:rStyle w:val="bumpedfont20"/>
          <w:rFonts w:ascii="Arial" w:hAnsi="Arial" w:cs="Arial"/>
          <w:sz w:val="20"/>
        </w:rPr>
        <w:t>Como reflejo del esfuerzo de recuperación de las ventas, la reducción de costes y la mejora de los ingresos variables durante el segundo semestre del año fiscal, Mazda consiguió unas ventas netas de 2</w:t>
      </w:r>
      <w:r w:rsidR="00095AFF">
        <w:rPr>
          <w:rStyle w:val="bumpedfont20"/>
          <w:rFonts w:ascii="Arial" w:hAnsi="Arial" w:cs="Arial"/>
          <w:sz w:val="20"/>
        </w:rPr>
        <w:t>,</w:t>
      </w:r>
      <w:r w:rsidRPr="00C76E1B">
        <w:rPr>
          <w:rStyle w:val="bumpedfont20"/>
          <w:rFonts w:ascii="Arial" w:hAnsi="Arial" w:cs="Arial"/>
          <w:sz w:val="20"/>
        </w:rPr>
        <w:t>88 billones de yenes (23.200 millones de euros**), con un beneficio de explotación positivo para el conjunto del año de 8.800 millones de yenes (71</w:t>
      </w:r>
      <w:r w:rsidR="00095AFF">
        <w:rPr>
          <w:rStyle w:val="bumpedfont20"/>
          <w:rFonts w:ascii="Arial" w:hAnsi="Arial" w:cs="Arial"/>
          <w:sz w:val="20"/>
        </w:rPr>
        <w:t>,</w:t>
      </w:r>
      <w:r w:rsidRPr="00C76E1B">
        <w:rPr>
          <w:rStyle w:val="bumpedfont20"/>
          <w:rFonts w:ascii="Arial" w:hAnsi="Arial" w:cs="Arial"/>
          <w:sz w:val="20"/>
        </w:rPr>
        <w:t>0 millones de euros**), si bien registró unas pérdidas netas de 31.700 millones de yenes (255</w:t>
      </w:r>
      <w:r w:rsidR="00095AFF">
        <w:rPr>
          <w:rStyle w:val="bumpedfont20"/>
          <w:rFonts w:ascii="Arial" w:hAnsi="Arial" w:cs="Arial"/>
          <w:sz w:val="20"/>
        </w:rPr>
        <w:t>,</w:t>
      </w:r>
      <w:r w:rsidRPr="00C76E1B">
        <w:rPr>
          <w:rStyle w:val="bumpedfont20"/>
          <w:rFonts w:ascii="Arial" w:hAnsi="Arial" w:cs="Arial"/>
          <w:sz w:val="20"/>
        </w:rPr>
        <w:t xml:space="preserve">6 millones de euros**). </w:t>
      </w:r>
    </w:p>
    <w:p w14:paraId="0821FC66" w14:textId="77777777" w:rsidR="007115B4" w:rsidRPr="00E354FA" w:rsidRDefault="007115B4" w:rsidP="007115B4">
      <w:pPr>
        <w:spacing w:after="120" w:line="360" w:lineRule="auto"/>
        <w:jc w:val="both"/>
        <w:rPr>
          <w:rStyle w:val="bumpedfont20"/>
          <w:rFonts w:ascii="Arial" w:hAnsi="Arial" w:cs="Arial"/>
          <w:sz w:val="20"/>
          <w:szCs w:val="20"/>
          <w:lang w:val="es-ES"/>
        </w:rPr>
      </w:pPr>
      <w:r w:rsidRPr="00E354FA">
        <w:rPr>
          <w:rStyle w:val="bumpedfont20"/>
          <w:rFonts w:ascii="Arial" w:hAnsi="Arial" w:cs="Arial"/>
          <w:sz w:val="20"/>
          <w:lang w:val="es-ES"/>
        </w:rPr>
        <w:t xml:space="preserve">Aunque el entorno de negocio sigue siendo incierto a causa de cuestiones como la escasez de semiconductores y el alza de los precios de las materias primas, Mazda confía en relanzar sus ventas durante el año fiscal que finalizará en marzo de 2022, y prevé vender 1.410.000 unidades. Se espera que Norteamérica y China sigan liderando las ventas. También en Europa, la previsión es que se produzca un crecimiento interanual de las ventas trimestre a trimestre, consolidando el papel de la región como la tercera en importancia para Mazda. </w:t>
      </w:r>
    </w:p>
    <w:p w14:paraId="1ADC8BD4" w14:textId="77777777" w:rsidR="007115B4" w:rsidRPr="00E354FA" w:rsidRDefault="007115B4" w:rsidP="007115B4">
      <w:pPr>
        <w:spacing w:after="120" w:line="360" w:lineRule="auto"/>
        <w:jc w:val="both"/>
        <w:rPr>
          <w:rStyle w:val="bumpedfont20"/>
          <w:rFonts w:ascii="Arial" w:hAnsi="Arial" w:cs="Arial"/>
          <w:sz w:val="20"/>
          <w:szCs w:val="20"/>
          <w:lang w:val="es-ES"/>
        </w:rPr>
      </w:pPr>
    </w:p>
    <w:p w14:paraId="19ED1564" w14:textId="6C8822FF" w:rsidR="007115B4" w:rsidRPr="00E354FA" w:rsidRDefault="007115B4" w:rsidP="007115B4">
      <w:pPr>
        <w:spacing w:after="120" w:line="360" w:lineRule="auto"/>
        <w:jc w:val="both"/>
        <w:rPr>
          <w:rStyle w:val="bumpedfont20"/>
          <w:rFonts w:ascii="Arial" w:hAnsi="Arial" w:cs="Arial"/>
          <w:sz w:val="20"/>
          <w:szCs w:val="20"/>
          <w:lang w:val="es-ES"/>
        </w:rPr>
      </w:pPr>
      <w:r w:rsidRPr="00E354FA">
        <w:rPr>
          <w:rStyle w:val="bumpedfont20"/>
          <w:rFonts w:ascii="Arial" w:hAnsi="Arial" w:cs="Arial"/>
          <w:sz w:val="20"/>
          <w:lang w:val="es-ES"/>
        </w:rPr>
        <w:t>Mazda llevará un seguimiento muy estrecho del entorno de negocio y, para el conjunto de su próximo ejercicio fiscal, espera unas ventas netas de 3</w:t>
      </w:r>
      <w:r w:rsidR="00E354FA">
        <w:rPr>
          <w:rStyle w:val="bumpedfont20"/>
          <w:rFonts w:ascii="Arial" w:hAnsi="Arial" w:cs="Arial"/>
          <w:sz w:val="20"/>
          <w:lang w:val="es-ES"/>
        </w:rPr>
        <w:t>.</w:t>
      </w:r>
      <w:r w:rsidRPr="00E354FA">
        <w:rPr>
          <w:rStyle w:val="bumpedfont20"/>
          <w:rFonts w:ascii="Arial" w:hAnsi="Arial" w:cs="Arial"/>
          <w:sz w:val="20"/>
          <w:lang w:val="es-ES"/>
        </w:rPr>
        <w:t>40 billones de yenes (26.400 millones de euros**), un beneficio de explotación de 65.000 millones de yenes (503</w:t>
      </w:r>
      <w:r w:rsidR="0005058A">
        <w:rPr>
          <w:rStyle w:val="bumpedfont20"/>
          <w:rFonts w:ascii="Arial" w:hAnsi="Arial" w:cs="Arial"/>
          <w:sz w:val="20"/>
          <w:lang w:val="es-ES"/>
        </w:rPr>
        <w:t>,</w:t>
      </w:r>
      <w:r w:rsidRPr="00E354FA">
        <w:rPr>
          <w:rStyle w:val="bumpedfont20"/>
          <w:rFonts w:ascii="Arial" w:hAnsi="Arial" w:cs="Arial"/>
          <w:sz w:val="20"/>
          <w:lang w:val="es-ES"/>
        </w:rPr>
        <w:t>9 millones de euros**) y un beneficio neto de 35.000 millones de yenes (271</w:t>
      </w:r>
      <w:r w:rsidR="0005058A">
        <w:rPr>
          <w:rStyle w:val="bumpedfont20"/>
          <w:rFonts w:ascii="Arial" w:hAnsi="Arial" w:cs="Arial"/>
          <w:sz w:val="20"/>
          <w:lang w:val="es-ES"/>
        </w:rPr>
        <w:t>,</w:t>
      </w:r>
      <w:r w:rsidRPr="00E354FA">
        <w:rPr>
          <w:rStyle w:val="bumpedfont20"/>
          <w:rFonts w:ascii="Arial" w:hAnsi="Arial" w:cs="Arial"/>
          <w:sz w:val="20"/>
          <w:lang w:val="es-ES"/>
        </w:rPr>
        <w:t xml:space="preserve">3 millones de euros**). </w:t>
      </w:r>
    </w:p>
    <w:p w14:paraId="3F2470D4" w14:textId="77777777" w:rsidR="007115B4" w:rsidRDefault="007115B4" w:rsidP="007115B4">
      <w:pPr>
        <w:pStyle w:val="s3"/>
        <w:spacing w:line="260" w:lineRule="exact"/>
        <w:rPr>
          <w:rStyle w:val="bumpedfont20"/>
          <w:rFonts w:ascii="Arial" w:hAnsi="Arial" w:cs="Arial"/>
          <w:sz w:val="18"/>
        </w:rPr>
      </w:pPr>
    </w:p>
    <w:p w14:paraId="036D280D" w14:textId="77CE4470" w:rsidR="007115B4" w:rsidRPr="00C76E1B" w:rsidRDefault="007115B4" w:rsidP="007115B4">
      <w:pPr>
        <w:pStyle w:val="s3"/>
        <w:spacing w:line="260" w:lineRule="exact"/>
        <w:rPr>
          <w:rFonts w:ascii="Arial" w:hAnsi="Arial" w:cs="Arial"/>
          <w:sz w:val="18"/>
          <w:szCs w:val="21"/>
        </w:rPr>
      </w:pPr>
      <w:r w:rsidRPr="00C76E1B">
        <w:rPr>
          <w:rStyle w:val="bumpedfont20"/>
          <w:rFonts w:ascii="Arial" w:hAnsi="Arial" w:cs="Arial"/>
          <w:sz w:val="18"/>
        </w:rPr>
        <w:t>* Incluida Rusia</w:t>
      </w:r>
      <w:r w:rsidRPr="00C76E1B">
        <w:rPr>
          <w:rStyle w:val="bumpedfont20"/>
          <w:rFonts w:ascii="Arial" w:hAnsi="Arial" w:cs="Arial"/>
          <w:sz w:val="18"/>
        </w:rPr>
        <w:br/>
        <w:t>** Fuente: Resultados financieros consolidados de Mazda Motor Corporation correspondientes al año fiscal finalizado el 31 de marzo de 2021. Los valores en euros para el ejercicio fiscal finalizado se han calculado a razón de 1 euro = 121 yenes; para la previsión correspondiente al próximo ejercicio fiscal se ha utilizado un cambio de 1 euro = 129 yenes.</w:t>
      </w:r>
    </w:p>
    <w:p w14:paraId="05BB99FB" w14:textId="559B2291" w:rsidR="00C83E11" w:rsidRDefault="00C83E11" w:rsidP="00B431F0">
      <w:pPr>
        <w:adjustRightInd w:val="0"/>
        <w:spacing w:line="240" w:lineRule="exact"/>
        <w:jc w:val="both"/>
        <w:rPr>
          <w:rFonts w:ascii="Arial" w:hAnsi="Arial" w:cs="Arial"/>
          <w:color w:val="191919"/>
          <w:sz w:val="20"/>
          <w:szCs w:val="20"/>
          <w:lang w:val="es-ES"/>
        </w:rPr>
      </w:pPr>
    </w:p>
    <w:p w14:paraId="3B89FFAD" w14:textId="77777777" w:rsidR="00A20E72" w:rsidRPr="00C83E11"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65363BC7" w14:textId="77777777" w:rsidR="00E354FA" w:rsidRDefault="00E354FA" w:rsidP="00857DAE">
      <w:pPr>
        <w:spacing w:line="240" w:lineRule="exact"/>
        <w:jc w:val="both"/>
        <w:rPr>
          <w:rFonts w:ascii="Arial" w:hAnsi="Arial" w:cs="Arial"/>
          <w:b/>
          <w:bCs/>
          <w:sz w:val="20"/>
          <w:szCs w:val="20"/>
          <w:lang w:val="es-ES"/>
        </w:rPr>
      </w:pPr>
      <w:bookmarkStart w:id="1" w:name="_Hlk54686853"/>
    </w:p>
    <w:p w14:paraId="5A7C1CA0" w14:textId="77777777" w:rsidR="00E354FA" w:rsidRDefault="00E354FA" w:rsidP="00857DAE">
      <w:pPr>
        <w:spacing w:line="240" w:lineRule="exact"/>
        <w:jc w:val="both"/>
        <w:rPr>
          <w:rFonts w:ascii="Arial" w:hAnsi="Arial" w:cs="Arial"/>
          <w:b/>
          <w:bCs/>
          <w:sz w:val="20"/>
          <w:szCs w:val="20"/>
          <w:lang w:val="es-ES"/>
        </w:rPr>
      </w:pPr>
    </w:p>
    <w:p w14:paraId="03BF81D5" w14:textId="77777777" w:rsidR="00E354FA" w:rsidRDefault="00E354FA" w:rsidP="00857DAE">
      <w:pPr>
        <w:spacing w:line="240" w:lineRule="exact"/>
        <w:jc w:val="both"/>
        <w:rPr>
          <w:rFonts w:ascii="Arial" w:hAnsi="Arial" w:cs="Arial"/>
          <w:b/>
          <w:bCs/>
          <w:sz w:val="20"/>
          <w:szCs w:val="20"/>
          <w:lang w:val="es-ES"/>
        </w:rPr>
      </w:pPr>
    </w:p>
    <w:p w14:paraId="2A7668FE" w14:textId="77777777" w:rsidR="00E354FA" w:rsidRDefault="00E354FA" w:rsidP="00857DAE">
      <w:pPr>
        <w:spacing w:line="240" w:lineRule="exact"/>
        <w:jc w:val="both"/>
        <w:rPr>
          <w:rFonts w:ascii="Arial" w:hAnsi="Arial" w:cs="Arial"/>
          <w:b/>
          <w:bCs/>
          <w:sz w:val="20"/>
          <w:szCs w:val="20"/>
          <w:lang w:val="es-ES"/>
        </w:rPr>
      </w:pPr>
    </w:p>
    <w:p w14:paraId="64709B30" w14:textId="77777777" w:rsidR="00E354FA" w:rsidRDefault="00E354FA" w:rsidP="00857DAE">
      <w:pPr>
        <w:spacing w:line="240" w:lineRule="exact"/>
        <w:jc w:val="both"/>
        <w:rPr>
          <w:rFonts w:ascii="Arial" w:hAnsi="Arial" w:cs="Arial"/>
          <w:b/>
          <w:bCs/>
          <w:sz w:val="20"/>
          <w:szCs w:val="20"/>
          <w:lang w:val="es-ES"/>
        </w:rPr>
      </w:pPr>
    </w:p>
    <w:p w14:paraId="13637338" w14:textId="77777777" w:rsidR="00E354FA" w:rsidRDefault="00E354FA" w:rsidP="00857DAE">
      <w:pPr>
        <w:spacing w:line="240" w:lineRule="exact"/>
        <w:jc w:val="both"/>
        <w:rPr>
          <w:rFonts w:ascii="Arial" w:hAnsi="Arial" w:cs="Arial"/>
          <w:b/>
          <w:bCs/>
          <w:sz w:val="20"/>
          <w:szCs w:val="20"/>
          <w:lang w:val="es-ES"/>
        </w:rPr>
      </w:pPr>
    </w:p>
    <w:p w14:paraId="09367669" w14:textId="4EFE788C" w:rsidR="00857DAE" w:rsidRDefault="00857DAE" w:rsidP="00857DAE">
      <w:pPr>
        <w:spacing w:line="240" w:lineRule="exact"/>
        <w:jc w:val="both"/>
        <w:rPr>
          <w:rFonts w:ascii="Arial" w:eastAsiaTheme="minorHAnsi" w:hAnsi="Arial" w:cs="Arial"/>
          <w:sz w:val="20"/>
          <w:szCs w:val="20"/>
          <w:lang w:val="es-ES" w:eastAsia="es-ES"/>
        </w:rPr>
      </w:pPr>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1"/>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5058A"/>
    <w:rsid w:val="00095AFF"/>
    <w:rsid w:val="000A142F"/>
    <w:rsid w:val="000A5368"/>
    <w:rsid w:val="000B507F"/>
    <w:rsid w:val="00163D74"/>
    <w:rsid w:val="001E004E"/>
    <w:rsid w:val="00225A84"/>
    <w:rsid w:val="0026398E"/>
    <w:rsid w:val="00286CDB"/>
    <w:rsid w:val="00295243"/>
    <w:rsid w:val="00354486"/>
    <w:rsid w:val="00354B22"/>
    <w:rsid w:val="0036048E"/>
    <w:rsid w:val="00507483"/>
    <w:rsid w:val="00537A75"/>
    <w:rsid w:val="0063773C"/>
    <w:rsid w:val="006B1388"/>
    <w:rsid w:val="006F646A"/>
    <w:rsid w:val="007115B4"/>
    <w:rsid w:val="00823340"/>
    <w:rsid w:val="00857DAE"/>
    <w:rsid w:val="00A20E72"/>
    <w:rsid w:val="00A36DDC"/>
    <w:rsid w:val="00AA601F"/>
    <w:rsid w:val="00B431F0"/>
    <w:rsid w:val="00B76CD0"/>
    <w:rsid w:val="00B778F5"/>
    <w:rsid w:val="00B84EF5"/>
    <w:rsid w:val="00BE7658"/>
    <w:rsid w:val="00C81629"/>
    <w:rsid w:val="00C83E11"/>
    <w:rsid w:val="00D15526"/>
    <w:rsid w:val="00D70ACC"/>
    <w:rsid w:val="00E203C3"/>
    <w:rsid w:val="00E354FA"/>
    <w:rsid w:val="00EA1B89"/>
    <w:rsid w:val="00EE5EC4"/>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paragraph" w:customStyle="1" w:styleId="s3">
    <w:name w:val="s3"/>
    <w:basedOn w:val="Normal"/>
    <w:rsid w:val="007115B4"/>
    <w:pPr>
      <w:spacing w:before="100" w:beforeAutospacing="1" w:after="100" w:afterAutospacing="1"/>
    </w:pPr>
    <w:rPr>
      <w:rFonts w:ascii="Times New Roman" w:eastAsiaTheme="minorHAnsi" w:hAnsi="Times New Roman" w:cs="Times New Roman"/>
      <w:lang w:val="es-ES" w:eastAsia="en-GB"/>
    </w:rPr>
  </w:style>
  <w:style w:type="character" w:customStyle="1" w:styleId="bumpedfont20">
    <w:name w:val="bumpedfont20"/>
    <w:basedOn w:val="DefaultParagraphFont"/>
    <w:rsid w:val="0071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5</cp:revision>
  <cp:lastPrinted>2021-05-14T11:01:00Z</cp:lastPrinted>
  <dcterms:created xsi:type="dcterms:W3CDTF">2021-05-14T10:08:00Z</dcterms:created>
  <dcterms:modified xsi:type="dcterms:W3CDTF">2021-05-14T11:01:00Z</dcterms:modified>
</cp:coreProperties>
</file>