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DCD" w:rsidRPr="000538D2" w:rsidRDefault="00C17F09" w:rsidP="00C4132D">
      <w:pPr>
        <w:spacing w:after="120" w:line="280" w:lineRule="auto"/>
        <w:jc w:val="center"/>
        <w:rPr>
          <w:rFonts w:ascii="Interstate Mazda Regular" w:hAnsi="Interstate Mazda Regular"/>
          <w:b/>
          <w:sz w:val="36"/>
          <w:szCs w:val="36"/>
        </w:rPr>
      </w:pPr>
      <w:r w:rsidRPr="00C17F09">
        <w:rPr>
          <w:rFonts w:ascii="Arial" w:hAnsi="Arial" w:cs="Arial"/>
          <w:b/>
          <w:sz w:val="36"/>
          <w:szCs w:val="36"/>
        </w:rPr>
        <w:t>E</w:t>
      </w:r>
      <w:r>
        <w:rPr>
          <w:rFonts w:ascii="Arial" w:hAnsi="Arial" w:cs="Arial"/>
          <w:b/>
          <w:sz w:val="36"/>
          <w:szCs w:val="36"/>
        </w:rPr>
        <w:t>l motor rotativo de Mazda vuelve para ampliar la autonomía de los vehículos eléctricos</w:t>
      </w:r>
    </w:p>
    <w:p w:rsidR="00F05DCD" w:rsidRDefault="00F05DCD" w:rsidP="0079154E">
      <w:pPr>
        <w:spacing w:line="360" w:lineRule="auto"/>
        <w:jc w:val="center"/>
        <w:rPr>
          <w:rFonts w:ascii="Arial" w:hAnsi="Arial" w:cs="Arial"/>
          <w:sz w:val="20"/>
          <w:szCs w:val="20"/>
        </w:rPr>
      </w:pPr>
    </w:p>
    <w:p w:rsidR="00C17F09" w:rsidRDefault="00A51738" w:rsidP="00C17F09">
      <w:pPr>
        <w:spacing w:line="360" w:lineRule="auto"/>
        <w:rPr>
          <w:rFonts w:ascii="Arial" w:hAnsi="Arial" w:cs="Arial"/>
          <w:sz w:val="20"/>
          <w:szCs w:val="20"/>
        </w:rPr>
      </w:pPr>
      <w:r>
        <w:rPr>
          <w:rFonts w:ascii="Arial" w:hAnsi="Arial" w:cs="Arial"/>
          <w:sz w:val="20"/>
          <w:szCs w:val="20"/>
        </w:rPr>
        <w:t>•</w:t>
      </w:r>
      <w:r>
        <w:rPr>
          <w:rFonts w:ascii="Arial" w:hAnsi="Arial" w:cs="Arial"/>
          <w:sz w:val="20"/>
          <w:szCs w:val="20"/>
        </w:rPr>
        <w:tab/>
      </w:r>
      <w:r w:rsidR="0003592C">
        <w:rPr>
          <w:rFonts w:ascii="Arial" w:hAnsi="Arial" w:cs="Arial"/>
          <w:sz w:val="20"/>
          <w:szCs w:val="20"/>
        </w:rPr>
        <w:t xml:space="preserve"> </w:t>
      </w:r>
      <w:r w:rsidR="00C17F09" w:rsidRPr="00C17F09">
        <w:rPr>
          <w:rFonts w:ascii="Arial" w:hAnsi="Arial" w:cs="Arial"/>
          <w:sz w:val="20"/>
          <w:szCs w:val="20"/>
        </w:rPr>
        <w:t xml:space="preserve">El diseño compacto del motor rotativo será clave para múltiples soluciones </w:t>
      </w:r>
    </w:p>
    <w:p w:rsidR="00C17F09" w:rsidRPr="00C17F09" w:rsidRDefault="00C17F09" w:rsidP="00C17F09">
      <w:pPr>
        <w:spacing w:line="360" w:lineRule="auto"/>
        <w:rPr>
          <w:rFonts w:ascii="Arial" w:hAnsi="Arial" w:cs="Arial"/>
          <w:sz w:val="20"/>
          <w:szCs w:val="20"/>
        </w:rPr>
      </w:pPr>
      <w:r>
        <w:rPr>
          <w:rFonts w:ascii="Arial" w:hAnsi="Arial" w:cs="Arial"/>
          <w:sz w:val="20"/>
          <w:szCs w:val="20"/>
        </w:rPr>
        <w:t xml:space="preserve">      </w:t>
      </w:r>
      <w:r w:rsidRPr="00C17F09">
        <w:rPr>
          <w:rFonts w:ascii="Arial" w:hAnsi="Arial" w:cs="Arial"/>
          <w:sz w:val="20"/>
          <w:szCs w:val="20"/>
        </w:rPr>
        <w:t>de vehículos eléctricos</w:t>
      </w:r>
    </w:p>
    <w:p w:rsidR="00C17F09" w:rsidRPr="00C024B9" w:rsidRDefault="00C17F09" w:rsidP="00624145">
      <w:pPr>
        <w:spacing w:line="360" w:lineRule="auto"/>
        <w:ind w:left="284" w:hanging="284"/>
        <w:jc w:val="center"/>
        <w:rPr>
          <w:rFonts w:ascii="Arial" w:hAnsi="Arial" w:cs="Arial"/>
          <w:sz w:val="20"/>
          <w:szCs w:val="20"/>
        </w:rPr>
      </w:pPr>
    </w:p>
    <w:p w:rsidR="00F05DCD" w:rsidRPr="00C17F09" w:rsidRDefault="00F05DCD" w:rsidP="008A03DB">
      <w:pPr>
        <w:spacing w:line="360" w:lineRule="auto"/>
        <w:jc w:val="center"/>
        <w:rPr>
          <w:rFonts w:ascii="Arial" w:hAnsi="Arial" w:cs="Arial"/>
          <w:sz w:val="20"/>
          <w:szCs w:val="20"/>
          <w:lang w:val="es-ES_tradnl"/>
        </w:rPr>
      </w:pPr>
    </w:p>
    <w:p w:rsidR="00C17F09" w:rsidRPr="00C17F09" w:rsidRDefault="00AD6212" w:rsidP="00C17F09">
      <w:pPr>
        <w:spacing w:line="360" w:lineRule="auto"/>
        <w:jc w:val="both"/>
        <w:rPr>
          <w:rFonts w:ascii="Arial" w:hAnsi="Arial" w:cs="Arial"/>
          <w:sz w:val="20"/>
          <w:szCs w:val="20"/>
          <w:lang w:val="es-ES_tradnl"/>
        </w:rPr>
      </w:pPr>
      <w:r w:rsidRPr="00C17F09">
        <w:rPr>
          <w:rFonts w:ascii="Arial" w:hAnsi="Arial" w:cs="Arial"/>
          <w:sz w:val="20"/>
          <w:szCs w:val="20"/>
          <w:lang w:val="es-ES_tradnl"/>
        </w:rPr>
        <w:t xml:space="preserve">Madrid, </w:t>
      </w:r>
      <w:r w:rsidR="00C17F09" w:rsidRPr="00C17F09">
        <w:rPr>
          <w:rFonts w:ascii="Arial" w:hAnsi="Arial" w:cs="Arial"/>
          <w:sz w:val="20"/>
          <w:szCs w:val="20"/>
          <w:lang w:val="es-ES_tradnl"/>
        </w:rPr>
        <w:t xml:space="preserve">02 </w:t>
      </w:r>
      <w:r w:rsidRPr="00C17F09">
        <w:rPr>
          <w:rFonts w:ascii="Arial" w:hAnsi="Arial" w:cs="Arial"/>
          <w:sz w:val="20"/>
          <w:szCs w:val="20"/>
          <w:lang w:val="es-ES_tradnl"/>
        </w:rPr>
        <w:t xml:space="preserve">de </w:t>
      </w:r>
      <w:r w:rsidR="002B14BC" w:rsidRPr="00C17F09">
        <w:rPr>
          <w:rFonts w:ascii="Arial" w:hAnsi="Arial" w:cs="Arial"/>
          <w:sz w:val="20"/>
          <w:szCs w:val="20"/>
          <w:lang w:val="es-ES_tradnl"/>
        </w:rPr>
        <w:t>octubre</w:t>
      </w:r>
      <w:r w:rsidR="00D61A81" w:rsidRPr="00C17F09">
        <w:rPr>
          <w:rFonts w:ascii="Arial" w:hAnsi="Arial" w:cs="Arial"/>
          <w:sz w:val="20"/>
          <w:szCs w:val="20"/>
          <w:lang w:val="es-ES_tradnl"/>
        </w:rPr>
        <w:t xml:space="preserve"> </w:t>
      </w:r>
      <w:r w:rsidRPr="00C17F09">
        <w:rPr>
          <w:rFonts w:ascii="Arial" w:hAnsi="Arial" w:cs="Arial"/>
          <w:sz w:val="20"/>
          <w:szCs w:val="20"/>
          <w:lang w:val="es-ES_tradnl"/>
        </w:rPr>
        <w:t>de 201</w:t>
      </w:r>
      <w:r w:rsidR="00263FCC" w:rsidRPr="00C17F09">
        <w:rPr>
          <w:rFonts w:ascii="Arial" w:hAnsi="Arial" w:cs="Arial"/>
          <w:sz w:val="20"/>
          <w:szCs w:val="20"/>
          <w:lang w:val="es-ES_tradnl"/>
        </w:rPr>
        <w:t>8</w:t>
      </w:r>
      <w:r w:rsidRPr="001C5466">
        <w:rPr>
          <w:rFonts w:ascii="Arial" w:hAnsi="Arial" w:cs="Arial"/>
          <w:sz w:val="20"/>
          <w:szCs w:val="20"/>
          <w:lang w:val="es-ES_tradnl"/>
        </w:rPr>
        <w:t xml:space="preserve">. </w:t>
      </w:r>
      <w:r w:rsidR="00F87221">
        <w:rPr>
          <w:rFonts w:ascii="Arial" w:hAnsi="Arial" w:cs="Arial"/>
          <w:sz w:val="20"/>
          <w:szCs w:val="20"/>
          <w:lang w:val="es-ES_tradnl"/>
        </w:rPr>
        <w:t>Mazda</w:t>
      </w:r>
      <w:r w:rsidR="00C17F09" w:rsidRPr="00C17F09">
        <w:rPr>
          <w:rFonts w:ascii="Arial" w:hAnsi="Arial" w:cs="Arial"/>
          <w:sz w:val="20"/>
          <w:szCs w:val="20"/>
          <w:lang w:val="es-ES_tradnl"/>
        </w:rPr>
        <w:t xml:space="preserve"> lanzará sus primeros vehículos eléctricos –EV, Electric Vehicles– en 2020 como parte de su programa de desarrollo tecnológico a largo plazo “Zoom-Zoom sostenible 2030”.</w:t>
      </w:r>
    </w:p>
    <w:p w:rsidR="00C17F09" w:rsidRPr="00C17F09" w:rsidRDefault="00C17F09" w:rsidP="00C17F09">
      <w:pPr>
        <w:spacing w:line="360" w:lineRule="auto"/>
        <w:jc w:val="both"/>
        <w:rPr>
          <w:rFonts w:ascii="Arial" w:hAnsi="Arial" w:cs="Arial"/>
          <w:sz w:val="20"/>
          <w:szCs w:val="20"/>
          <w:lang w:val="es-ES_tradnl"/>
        </w:rPr>
      </w:pPr>
    </w:p>
    <w:p w:rsidR="00C17F09" w:rsidRPr="00C17F09" w:rsidRDefault="00C17F09" w:rsidP="00C17F09">
      <w:pPr>
        <w:spacing w:after="120" w:line="360" w:lineRule="auto"/>
        <w:jc w:val="both"/>
        <w:rPr>
          <w:rFonts w:ascii="Arial" w:hAnsi="Arial" w:cs="Arial"/>
          <w:b/>
          <w:sz w:val="20"/>
          <w:szCs w:val="20"/>
          <w:lang w:val="es-ES_tradnl"/>
        </w:rPr>
      </w:pPr>
      <w:r w:rsidRPr="00C17F09">
        <w:rPr>
          <w:rFonts w:ascii="Arial" w:hAnsi="Arial" w:cs="Arial"/>
          <w:b/>
          <w:sz w:val="20"/>
          <w:szCs w:val="20"/>
          <w:lang w:val="es-ES_tradnl"/>
        </w:rPr>
        <w:t>Un enfoque tecnológico singular</w:t>
      </w:r>
    </w:p>
    <w:p w:rsidR="00C17F09" w:rsidRPr="00C17F09" w:rsidRDefault="00C17F09" w:rsidP="00C17F09">
      <w:pPr>
        <w:spacing w:after="120" w:line="360" w:lineRule="auto"/>
        <w:jc w:val="both"/>
        <w:rPr>
          <w:rFonts w:ascii="Arial" w:hAnsi="Arial" w:cs="Arial"/>
          <w:sz w:val="20"/>
          <w:szCs w:val="20"/>
          <w:lang w:val="es-ES_tradnl"/>
        </w:rPr>
      </w:pPr>
      <w:r w:rsidRPr="00C17F09">
        <w:rPr>
          <w:rFonts w:ascii="Arial" w:hAnsi="Arial" w:cs="Arial"/>
          <w:sz w:val="20"/>
          <w:szCs w:val="20"/>
          <w:lang w:val="es-ES_tradnl"/>
        </w:rPr>
        <w:t>Mazda lanzará inicialmente dos EV con batería. Uno de ellos se propulsará únicamente mediante una batería, mientras que el otro combinará la batería con un pequeño, ligero y excepcionalmente silencioso motor rotativo de Mazda, para ampliar la autonomía.</w:t>
      </w:r>
    </w:p>
    <w:p w:rsidR="00C17F09" w:rsidRPr="00C17F09" w:rsidRDefault="00C17F09" w:rsidP="00C17F09">
      <w:pPr>
        <w:spacing w:after="120" w:line="360" w:lineRule="auto"/>
        <w:jc w:val="both"/>
        <w:rPr>
          <w:rFonts w:ascii="Arial" w:hAnsi="Arial" w:cs="Arial"/>
          <w:sz w:val="20"/>
          <w:szCs w:val="20"/>
          <w:lang w:val="es-ES_tradnl"/>
        </w:rPr>
      </w:pPr>
      <w:r w:rsidRPr="00C17F09">
        <w:rPr>
          <w:rFonts w:ascii="Arial" w:hAnsi="Arial" w:cs="Arial"/>
          <w:sz w:val="20"/>
          <w:szCs w:val="20"/>
          <w:lang w:val="es-ES_tradnl"/>
        </w:rPr>
        <w:t>El motor rotativo recargará la batería cuando sea necesario para ampliar la autonomía del vehículo, y eliminar así la preocupación por la autonomía que sigue inquietando a un elevado porcentaje de usuarios de EV con batería.</w:t>
      </w:r>
    </w:p>
    <w:p w:rsidR="00C17F09" w:rsidRPr="00C17F09" w:rsidRDefault="00C17F09" w:rsidP="00C17F09">
      <w:pPr>
        <w:spacing w:line="360" w:lineRule="auto"/>
        <w:jc w:val="both"/>
        <w:rPr>
          <w:rFonts w:ascii="Arial" w:hAnsi="Arial" w:cs="Arial"/>
          <w:sz w:val="20"/>
          <w:szCs w:val="20"/>
          <w:lang w:val="es-ES_tradnl"/>
        </w:rPr>
      </w:pPr>
      <w:r w:rsidRPr="00C17F09">
        <w:rPr>
          <w:rFonts w:ascii="Arial" w:hAnsi="Arial" w:cs="Arial"/>
          <w:sz w:val="20"/>
          <w:szCs w:val="20"/>
          <w:lang w:val="es-ES_tradnl"/>
        </w:rPr>
        <w:t>Las dimensiones reducidas del motor rotativo y su elevada potencia hacen posibles múltiples soluciones tecnológicas de electrificación a través de una estructura compartida. Aprovechando la compatibilidad del motor rotativo con los combustibles gaseosos, el sistema para ampliar la autonomía está diseñado</w:t>
      </w:r>
      <w:r w:rsidR="00C4132D">
        <w:rPr>
          <w:rFonts w:ascii="Arial" w:hAnsi="Arial" w:cs="Arial"/>
          <w:sz w:val="20"/>
          <w:szCs w:val="20"/>
          <w:lang w:val="es-ES_tradnl"/>
        </w:rPr>
        <w:t xml:space="preserve"> también para la </w:t>
      </w:r>
      <w:r w:rsidR="00C4132D" w:rsidRPr="00C408E7">
        <w:rPr>
          <w:rFonts w:ascii="Arial" w:hAnsi="Arial" w:cs="Arial"/>
          <w:color w:val="000000" w:themeColor="text1"/>
          <w:sz w:val="20"/>
          <w:szCs w:val="20"/>
          <w:lang w:val="es-ES_tradnl"/>
        </w:rPr>
        <w:t>combustión de</w:t>
      </w:r>
      <w:r w:rsidR="001D26F8" w:rsidRPr="00C408E7">
        <w:rPr>
          <w:rFonts w:ascii="Arial" w:hAnsi="Arial" w:cs="Arial"/>
          <w:color w:val="000000" w:themeColor="text1"/>
          <w:sz w:val="20"/>
          <w:szCs w:val="20"/>
          <w:lang w:val="es-ES_tradnl"/>
        </w:rPr>
        <w:t xml:space="preserve"> gas licuado del petróleo (GLP)</w:t>
      </w:r>
      <w:r w:rsidRPr="00C408E7">
        <w:rPr>
          <w:rFonts w:ascii="Arial" w:hAnsi="Arial" w:cs="Arial"/>
          <w:color w:val="000000" w:themeColor="text1"/>
          <w:sz w:val="20"/>
          <w:szCs w:val="20"/>
          <w:lang w:val="es-ES_tradnl"/>
        </w:rPr>
        <w:t xml:space="preserve"> </w:t>
      </w:r>
      <w:r w:rsidRPr="00C17F09">
        <w:rPr>
          <w:rFonts w:ascii="Arial" w:hAnsi="Arial" w:cs="Arial"/>
          <w:sz w:val="20"/>
          <w:szCs w:val="20"/>
          <w:lang w:val="es-ES_tradnl"/>
        </w:rPr>
        <w:t>y proporcionar una fuente de electricidad en casos de emergencia.</w:t>
      </w:r>
    </w:p>
    <w:p w:rsidR="00C17F09" w:rsidRPr="00C17F09" w:rsidRDefault="00C17F09" w:rsidP="00C17F09">
      <w:pPr>
        <w:spacing w:line="360" w:lineRule="auto"/>
        <w:jc w:val="both"/>
        <w:rPr>
          <w:rFonts w:ascii="Arial" w:hAnsi="Arial" w:cs="Arial"/>
          <w:sz w:val="20"/>
          <w:szCs w:val="20"/>
          <w:lang w:val="es-ES_tradnl"/>
        </w:rPr>
      </w:pPr>
    </w:p>
    <w:p w:rsidR="00C17F09" w:rsidRPr="00C17F09" w:rsidRDefault="00C17F09" w:rsidP="00C17F09">
      <w:pPr>
        <w:spacing w:line="360" w:lineRule="auto"/>
        <w:jc w:val="both"/>
        <w:rPr>
          <w:rFonts w:ascii="Arial" w:hAnsi="Arial" w:cs="Arial"/>
          <w:b/>
          <w:sz w:val="20"/>
          <w:szCs w:val="20"/>
          <w:lang w:val="es-ES_tradnl"/>
        </w:rPr>
      </w:pPr>
      <w:r w:rsidRPr="00C17F09">
        <w:rPr>
          <w:rFonts w:ascii="Arial" w:hAnsi="Arial" w:cs="Arial"/>
          <w:b/>
          <w:sz w:val="20"/>
          <w:szCs w:val="20"/>
          <w:lang w:val="es-ES_tradnl"/>
        </w:rPr>
        <w:t>Zoom-Zoom sostenible 2030 de Mazda</w:t>
      </w:r>
    </w:p>
    <w:p w:rsidR="00C17F09" w:rsidRPr="00C17F09" w:rsidRDefault="00C17F09" w:rsidP="00C17F09">
      <w:pPr>
        <w:spacing w:after="120" w:line="360" w:lineRule="auto"/>
        <w:jc w:val="both"/>
        <w:rPr>
          <w:rFonts w:ascii="Arial" w:hAnsi="Arial" w:cs="Arial"/>
          <w:sz w:val="20"/>
          <w:szCs w:val="20"/>
          <w:lang w:val="es-ES_tradnl"/>
        </w:rPr>
      </w:pPr>
      <w:r w:rsidRPr="00C17F09">
        <w:rPr>
          <w:rFonts w:ascii="Arial" w:hAnsi="Arial" w:cs="Arial"/>
          <w:sz w:val="20"/>
          <w:szCs w:val="20"/>
          <w:lang w:val="es-ES_tradnl"/>
        </w:rPr>
        <w:t>Ante la expectativa de que los motores de combustión interna combinados con algún tipo de electrificación representen el 95 % de los vehículos que produzca en 2030 (siendo el 5</w:t>
      </w:r>
      <w:r w:rsidR="00C4132D">
        <w:rPr>
          <w:rFonts w:ascii="Arial" w:hAnsi="Arial" w:cs="Arial"/>
          <w:sz w:val="20"/>
          <w:szCs w:val="20"/>
          <w:lang w:val="es-ES_tradnl"/>
        </w:rPr>
        <w:t xml:space="preserve"> </w:t>
      </w:r>
      <w:r w:rsidRPr="00C17F09">
        <w:rPr>
          <w:rFonts w:ascii="Arial" w:hAnsi="Arial" w:cs="Arial"/>
          <w:sz w:val="20"/>
          <w:szCs w:val="20"/>
          <w:lang w:val="es-ES_tradnl"/>
        </w:rPr>
        <w:t>% restante vehículos eléctricos con batería), Mazda seguirá centrándose en maximizar la eficiencia del motor de combustión interna; buena prueba de ello es su nuevo motor de gasolina de nueva generación SKYACTIV-X, que genera la combustión mediante ignición por compresión.</w:t>
      </w:r>
    </w:p>
    <w:p w:rsidR="00C17F09" w:rsidRPr="00C17F09" w:rsidRDefault="00C17F09" w:rsidP="00C17F09">
      <w:pPr>
        <w:spacing w:after="120" w:line="360" w:lineRule="auto"/>
        <w:jc w:val="both"/>
        <w:rPr>
          <w:rFonts w:ascii="Arial" w:hAnsi="Arial" w:cs="Arial"/>
          <w:sz w:val="20"/>
          <w:szCs w:val="20"/>
          <w:lang w:val="es-ES_tradnl"/>
        </w:rPr>
      </w:pPr>
      <w:r w:rsidRPr="00C17F09">
        <w:rPr>
          <w:rFonts w:ascii="Arial" w:hAnsi="Arial" w:cs="Arial"/>
          <w:sz w:val="20"/>
          <w:szCs w:val="20"/>
          <w:lang w:val="es-ES_tradnl"/>
        </w:rPr>
        <w:lastRenderedPageBreak/>
        <w:t xml:space="preserve">Mazda se compromete a reducir el promedio global sus emisiones de CO2 “de la extracción al consumo” en un 50 % en 2030 con respecto a los niveles de 2010, y en un 90 % para 2050. No obstante, la compañía también apuesta por el principio de adoptar la solución correcta en el momento oportuno –puesto que la disponibilidad </w:t>
      </w:r>
      <w:r w:rsidR="007F1799">
        <w:rPr>
          <w:rFonts w:ascii="Arial" w:hAnsi="Arial" w:cs="Arial"/>
          <w:sz w:val="20"/>
          <w:szCs w:val="20"/>
          <w:lang w:val="es-ES_tradnl"/>
        </w:rPr>
        <w:t xml:space="preserve">y la adecuación de las fuentes de </w:t>
      </w:r>
      <w:r w:rsidRPr="00C17F09">
        <w:rPr>
          <w:rFonts w:ascii="Arial" w:hAnsi="Arial" w:cs="Arial"/>
          <w:sz w:val="20"/>
          <w:szCs w:val="20"/>
          <w:lang w:val="es-ES_tradnl"/>
        </w:rPr>
        <w:t xml:space="preserve">energía </w:t>
      </w:r>
      <w:r w:rsidR="00C4132D">
        <w:rPr>
          <w:rFonts w:ascii="Arial" w:hAnsi="Arial" w:cs="Arial"/>
          <w:sz w:val="20"/>
          <w:szCs w:val="20"/>
          <w:lang w:val="es-ES_tradnl"/>
        </w:rPr>
        <w:t>para el automóvil</w:t>
      </w:r>
      <w:r w:rsidRPr="00C17F09">
        <w:rPr>
          <w:rFonts w:ascii="Arial" w:hAnsi="Arial" w:cs="Arial"/>
          <w:sz w:val="20"/>
          <w:szCs w:val="20"/>
          <w:lang w:val="es-ES_tradnl"/>
        </w:rPr>
        <w:t xml:space="preserve"> varían de región a región– </w:t>
      </w:r>
      <w:r w:rsidR="00C4132D">
        <w:rPr>
          <w:rFonts w:ascii="Arial" w:hAnsi="Arial" w:cs="Arial"/>
          <w:sz w:val="20"/>
          <w:szCs w:val="20"/>
          <w:lang w:val="es-ES_tradnl"/>
        </w:rPr>
        <w:t xml:space="preserve">y </w:t>
      </w:r>
      <w:r w:rsidRPr="00C17F09">
        <w:rPr>
          <w:rFonts w:ascii="Arial" w:hAnsi="Arial" w:cs="Arial"/>
          <w:sz w:val="20"/>
          <w:szCs w:val="20"/>
          <w:lang w:val="es-ES_tradnl"/>
        </w:rPr>
        <w:t xml:space="preserve">en el lugar </w:t>
      </w:r>
      <w:r w:rsidR="007F1799">
        <w:rPr>
          <w:rFonts w:ascii="Arial" w:hAnsi="Arial" w:cs="Arial"/>
          <w:sz w:val="20"/>
          <w:szCs w:val="20"/>
          <w:lang w:val="es-ES_tradnl"/>
        </w:rPr>
        <w:t>correcto</w:t>
      </w:r>
      <w:r w:rsidRPr="00C17F09">
        <w:rPr>
          <w:rFonts w:ascii="Arial" w:hAnsi="Arial" w:cs="Arial"/>
          <w:sz w:val="20"/>
          <w:szCs w:val="20"/>
          <w:lang w:val="es-ES_tradnl"/>
        </w:rPr>
        <w:t>.</w:t>
      </w:r>
    </w:p>
    <w:p w:rsidR="00C17F09" w:rsidRPr="00C17F09" w:rsidRDefault="00C17F09" w:rsidP="00C17F09">
      <w:pPr>
        <w:spacing w:after="120" w:line="360" w:lineRule="auto"/>
        <w:jc w:val="both"/>
        <w:rPr>
          <w:rFonts w:ascii="Arial" w:hAnsi="Arial" w:cs="Arial"/>
          <w:sz w:val="20"/>
          <w:szCs w:val="20"/>
          <w:lang w:val="es-ES_tradnl"/>
        </w:rPr>
      </w:pPr>
      <w:r w:rsidRPr="00C17F09">
        <w:rPr>
          <w:rFonts w:ascii="Arial" w:hAnsi="Arial" w:cs="Arial"/>
          <w:sz w:val="20"/>
          <w:szCs w:val="20"/>
          <w:lang w:val="es-ES_tradnl"/>
        </w:rPr>
        <w:t>Está claro que el sistema de generación de electricidad en una región concreta determina cuánto puede contribuir un EV a las reducciones de emisiones de CO</w:t>
      </w:r>
      <w:r w:rsidRPr="00C4132D">
        <w:rPr>
          <w:rFonts w:ascii="Arial" w:hAnsi="Arial" w:cs="Arial"/>
          <w:sz w:val="16"/>
          <w:szCs w:val="16"/>
          <w:lang w:val="es-ES_tradnl"/>
        </w:rPr>
        <w:t>2</w:t>
      </w:r>
      <w:r w:rsidRPr="00C17F09">
        <w:rPr>
          <w:rFonts w:ascii="Arial" w:hAnsi="Arial" w:cs="Arial"/>
          <w:sz w:val="20"/>
          <w:szCs w:val="20"/>
          <w:lang w:val="es-ES_tradnl"/>
        </w:rPr>
        <w:t xml:space="preserve"> “de la extracción al consumo”. Y, teniendo en cuenta que la generación de energía térmica, que emite CO</w:t>
      </w:r>
      <w:r w:rsidRPr="00C4132D">
        <w:rPr>
          <w:rFonts w:ascii="Arial" w:hAnsi="Arial" w:cs="Arial"/>
          <w:sz w:val="16"/>
          <w:szCs w:val="16"/>
          <w:lang w:val="es-ES_tradnl"/>
        </w:rPr>
        <w:t>2</w:t>
      </w:r>
      <w:r w:rsidRPr="00C17F09">
        <w:rPr>
          <w:rFonts w:ascii="Arial" w:hAnsi="Arial" w:cs="Arial"/>
          <w:sz w:val="20"/>
          <w:szCs w:val="20"/>
          <w:lang w:val="es-ES_tradnl"/>
        </w:rPr>
        <w:t>, sigue siendo predominante en el mundo, es probable que el objetivo de reducir esas emisiones diversifique las opciones de combustible en el futuro inmediato.</w:t>
      </w:r>
    </w:p>
    <w:p w:rsidR="00C17F09" w:rsidRPr="00C17F09" w:rsidRDefault="00C17F09" w:rsidP="00C17F09">
      <w:pPr>
        <w:spacing w:after="120" w:line="360" w:lineRule="auto"/>
        <w:jc w:val="both"/>
        <w:rPr>
          <w:rFonts w:ascii="Arial" w:hAnsi="Arial" w:cs="Arial"/>
          <w:sz w:val="20"/>
          <w:szCs w:val="20"/>
          <w:lang w:val="es-ES_tradnl"/>
        </w:rPr>
      </w:pPr>
      <w:r w:rsidRPr="00C17F09">
        <w:rPr>
          <w:rFonts w:ascii="Arial" w:hAnsi="Arial" w:cs="Arial"/>
          <w:sz w:val="20"/>
          <w:szCs w:val="20"/>
          <w:lang w:val="es-ES_tradnl"/>
        </w:rPr>
        <w:t xml:space="preserve">Además de los combustibles alternativos, como el gas natural comprimido, </w:t>
      </w:r>
      <w:r w:rsidRPr="00C408E7">
        <w:rPr>
          <w:rFonts w:ascii="Arial" w:hAnsi="Arial" w:cs="Arial"/>
          <w:sz w:val="20"/>
          <w:szCs w:val="20"/>
          <w:lang w:val="es-ES_tradnl"/>
        </w:rPr>
        <w:t xml:space="preserve">el gas </w:t>
      </w:r>
      <w:r w:rsidR="001D26F8" w:rsidRPr="00C408E7">
        <w:rPr>
          <w:rFonts w:ascii="Arial" w:hAnsi="Arial" w:cs="Arial"/>
          <w:sz w:val="20"/>
          <w:szCs w:val="20"/>
          <w:lang w:val="es-ES_tradnl"/>
        </w:rPr>
        <w:t>licuado del petróleo</w:t>
      </w:r>
      <w:r w:rsidRPr="00C17F09">
        <w:rPr>
          <w:rFonts w:ascii="Arial" w:hAnsi="Arial" w:cs="Arial"/>
          <w:sz w:val="20"/>
          <w:szCs w:val="20"/>
          <w:lang w:val="es-ES_tradnl"/>
        </w:rPr>
        <w:t xml:space="preserve"> e incluso el hidrógeno, el sector de la automoción está estudiando la viabilidad de combustibles líquidos reciclables como los biocombustibles proced</w:t>
      </w:r>
      <w:bookmarkStart w:id="0" w:name="_GoBack"/>
      <w:bookmarkEnd w:id="0"/>
      <w:r w:rsidRPr="00C17F09">
        <w:rPr>
          <w:rFonts w:ascii="Arial" w:hAnsi="Arial" w:cs="Arial"/>
          <w:sz w:val="20"/>
          <w:szCs w:val="20"/>
          <w:lang w:val="es-ES_tradnl"/>
        </w:rPr>
        <w:t>entes del cultivo de microalgas.</w:t>
      </w:r>
    </w:p>
    <w:p w:rsidR="00C17F09" w:rsidRPr="00C17F09" w:rsidRDefault="00C17F09" w:rsidP="00C17F09">
      <w:pPr>
        <w:spacing w:after="120" w:line="360" w:lineRule="auto"/>
        <w:jc w:val="both"/>
        <w:rPr>
          <w:rFonts w:ascii="Arial" w:hAnsi="Arial" w:cs="Arial"/>
          <w:sz w:val="20"/>
          <w:szCs w:val="20"/>
          <w:lang w:val="es-ES_tradnl"/>
        </w:rPr>
      </w:pPr>
      <w:r w:rsidRPr="00C17F09">
        <w:rPr>
          <w:rFonts w:ascii="Arial" w:hAnsi="Arial" w:cs="Arial"/>
          <w:sz w:val="20"/>
          <w:szCs w:val="20"/>
          <w:lang w:val="es-ES_tradnl"/>
        </w:rPr>
        <w:t>Según Mazda, el desarrollo de estos últimos es crítico para alcanzar la neutralidad en términos de carbono de los vehículos propulsados por motor de combustión interna, y por eso participa en proyectos y estudios de investigación conjuntos con el Instituto de Tecnología de Tokio  y la Universidad de Hiroshima, como parte de una colaboración continua entre la industria y la universidad.</w:t>
      </w:r>
    </w:p>
    <w:p w:rsidR="00C17F09" w:rsidRPr="00C17F09" w:rsidRDefault="00C17F09" w:rsidP="00C17F09">
      <w:pPr>
        <w:spacing w:after="120" w:line="360" w:lineRule="auto"/>
        <w:jc w:val="both"/>
        <w:rPr>
          <w:rFonts w:ascii="Arial" w:hAnsi="Arial" w:cs="Arial"/>
          <w:sz w:val="20"/>
          <w:szCs w:val="20"/>
          <w:lang w:val="es-ES_tradnl"/>
        </w:rPr>
      </w:pPr>
      <w:r w:rsidRPr="00C17F09">
        <w:rPr>
          <w:rFonts w:ascii="Arial" w:hAnsi="Arial" w:cs="Arial"/>
          <w:sz w:val="20"/>
          <w:szCs w:val="20"/>
          <w:lang w:val="es-ES_tradnl"/>
        </w:rPr>
        <w:t>Mazda espera hacer llegar las aportaciones de su visión “Zoom-Zoom sostenible 2030” a la sociedad enviando vehículos eléctricos con sistema ampliador de la autonomía a zonas afectadas por catástrofes naturales, para ofrecer electricidad generada a partir de GL</w:t>
      </w:r>
      <w:r w:rsidR="007F1799">
        <w:rPr>
          <w:rFonts w:ascii="Arial" w:hAnsi="Arial" w:cs="Arial"/>
          <w:sz w:val="20"/>
          <w:szCs w:val="20"/>
          <w:lang w:val="es-ES_tradnl"/>
        </w:rPr>
        <w:t>P</w:t>
      </w:r>
      <w:r w:rsidRPr="00C17F09">
        <w:rPr>
          <w:rFonts w:ascii="Arial" w:hAnsi="Arial" w:cs="Arial"/>
          <w:sz w:val="20"/>
          <w:szCs w:val="20"/>
          <w:lang w:val="es-ES_tradnl"/>
        </w:rPr>
        <w:t xml:space="preserve"> a quienes la necesiten.</w:t>
      </w:r>
    </w:p>
    <w:p w:rsidR="006F78B1" w:rsidRDefault="00C4132D" w:rsidP="00C17F09">
      <w:pPr>
        <w:spacing w:after="120" w:line="360" w:lineRule="auto"/>
        <w:jc w:val="both"/>
        <w:rPr>
          <w:rFonts w:ascii="Arial" w:hAnsi="Arial" w:cs="Arial"/>
          <w:sz w:val="20"/>
          <w:szCs w:val="20"/>
        </w:rPr>
      </w:pPr>
      <w:r>
        <w:rPr>
          <w:rFonts w:ascii="Arial" w:hAnsi="Arial" w:cs="Arial"/>
          <w:sz w:val="20"/>
          <w:szCs w:val="20"/>
          <w:lang w:val="es-ES_tradnl"/>
        </w:rPr>
        <w:t>Siempre bajo la premisa de ofrecer</w:t>
      </w:r>
      <w:r w:rsidR="00C17F09" w:rsidRPr="00C17F09">
        <w:rPr>
          <w:rFonts w:ascii="Arial" w:hAnsi="Arial" w:cs="Arial"/>
          <w:sz w:val="20"/>
          <w:szCs w:val="20"/>
          <w:lang w:val="es-ES_tradnl"/>
        </w:rPr>
        <w:t xml:space="preserve"> placer al volante, Mazda también explotará las ventajas de la conducción eléctrica en combinación con las tecnologías patentadas por la </w:t>
      </w:r>
      <w:r>
        <w:rPr>
          <w:rFonts w:ascii="Arial" w:hAnsi="Arial" w:cs="Arial"/>
          <w:sz w:val="20"/>
          <w:szCs w:val="20"/>
          <w:lang w:val="es-ES_tradnl"/>
        </w:rPr>
        <w:t>marca</w:t>
      </w:r>
      <w:r w:rsidR="00C17F09" w:rsidRPr="00C17F09">
        <w:rPr>
          <w:rFonts w:ascii="Arial" w:hAnsi="Arial" w:cs="Arial"/>
          <w:sz w:val="20"/>
          <w:szCs w:val="20"/>
          <w:lang w:val="es-ES_tradnl"/>
        </w:rPr>
        <w:t xml:space="preserve">, para producir vehículos eléctricos que no solo respeten las restricciones medioambientales, cada vez más estrictas, sino que también hagan valer su compromiso constante con Hashiru Yorokobi –la “conducción estimulante”–, a través de su filosofía técnica y de diseño </w:t>
      </w:r>
      <w:r w:rsidR="00C17F09" w:rsidRPr="00C17F09">
        <w:rPr>
          <w:rFonts w:ascii="Arial" w:hAnsi="Arial" w:cs="Arial"/>
          <w:i/>
          <w:sz w:val="20"/>
          <w:szCs w:val="20"/>
          <w:lang w:val="es-ES_tradnl"/>
        </w:rPr>
        <w:t>Jinba Ittai</w:t>
      </w:r>
      <w:r w:rsidR="00C17F09" w:rsidRPr="00C17F09">
        <w:rPr>
          <w:rFonts w:ascii="Arial" w:hAnsi="Arial" w:cs="Arial"/>
          <w:sz w:val="20"/>
          <w:szCs w:val="20"/>
          <w:lang w:val="es-ES_tradnl"/>
        </w:rPr>
        <w:t xml:space="preserve"> que</w:t>
      </w:r>
      <w:r>
        <w:rPr>
          <w:rFonts w:ascii="Arial" w:hAnsi="Arial" w:cs="Arial"/>
          <w:sz w:val="20"/>
          <w:szCs w:val="20"/>
          <w:lang w:val="es-ES_tradnl"/>
        </w:rPr>
        <w:t xml:space="preserve"> hace referencia a la fusión entre el conductor y su vehículo</w:t>
      </w:r>
      <w:r w:rsidR="00C17F09" w:rsidRPr="00C17F09">
        <w:rPr>
          <w:rFonts w:ascii="Arial" w:hAnsi="Arial" w:cs="Arial"/>
          <w:sz w:val="20"/>
          <w:szCs w:val="20"/>
          <w:lang w:val="es-ES_tradnl"/>
        </w:rPr>
        <w:t>.</w:t>
      </w:r>
    </w:p>
    <w:p w:rsidR="00F87221" w:rsidRPr="00C4132D" w:rsidRDefault="00F87221" w:rsidP="0003592C">
      <w:pPr>
        <w:spacing w:line="360" w:lineRule="auto"/>
        <w:jc w:val="both"/>
        <w:rPr>
          <w:rFonts w:ascii="Arial" w:hAnsi="Arial" w:cs="Arial"/>
          <w:sz w:val="20"/>
          <w:szCs w:val="20"/>
        </w:rPr>
      </w:pPr>
    </w:p>
    <w:p w:rsidR="00397DA5" w:rsidRPr="00C5415A" w:rsidRDefault="00397DA5" w:rsidP="001C3619">
      <w:pPr>
        <w:jc w:val="center"/>
        <w:rPr>
          <w:rFonts w:ascii="Arial" w:hAnsi="Arial" w:cs="Arial"/>
          <w:sz w:val="20"/>
          <w:szCs w:val="20"/>
        </w:rPr>
      </w:pPr>
      <w:r w:rsidRPr="00C5415A">
        <w:rPr>
          <w:rFonts w:ascii="Arial" w:hAnsi="Arial" w:cs="Arial"/>
          <w:sz w:val="20"/>
          <w:szCs w:val="20"/>
          <w:lang w:val="es-ES"/>
        </w:rPr>
        <w:t>###</w:t>
      </w:r>
    </w:p>
    <w:p w:rsidR="00397DA5" w:rsidRPr="00C5415A" w:rsidRDefault="00397DA5" w:rsidP="00397DA5">
      <w:pPr>
        <w:rPr>
          <w:rFonts w:ascii="Arial" w:hAnsi="Arial" w:cs="Arial"/>
          <w:sz w:val="20"/>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C408E7" w:rsidP="00397DA5">
      <w:pPr>
        <w:autoSpaceDE w:val="0"/>
        <w:autoSpaceDN w:val="0"/>
        <w:adjustRightInd w:val="0"/>
        <w:rPr>
          <w:rFonts w:ascii="Arial" w:hAnsi="Arial" w:cs="Arial"/>
          <w:bCs/>
          <w:sz w:val="16"/>
          <w:szCs w:val="16"/>
          <w:lang w:eastAsia="ja-JP"/>
        </w:rPr>
      </w:pPr>
      <w:hyperlink r:id="rId8"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C408E7" w:rsidP="00397DA5">
      <w:pPr>
        <w:autoSpaceDE w:val="0"/>
        <w:autoSpaceDN w:val="0"/>
        <w:adjustRightInd w:val="0"/>
        <w:rPr>
          <w:rFonts w:ascii="Arial" w:hAnsi="Arial" w:cs="Arial"/>
          <w:bCs/>
          <w:sz w:val="16"/>
          <w:szCs w:val="16"/>
          <w:lang w:eastAsia="ja-JP"/>
        </w:rPr>
      </w:pPr>
      <w:hyperlink r:id="rId9"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0"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1"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2"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572DDE">
        <w:rPr>
          <w:rFonts w:ascii="Arial" w:hAnsi="Arial" w:cs="Arial"/>
          <w:bCs/>
          <w:sz w:val="16"/>
          <w:szCs w:val="16"/>
          <w:lang w:val="es-ES" w:eastAsia="ja-JP"/>
        </w:rPr>
        <w:t>6</w:t>
      </w:r>
      <w:r w:rsidR="00416785" w:rsidRPr="00C5415A">
        <w:rPr>
          <w:rFonts w:ascii="Arial" w:hAnsi="Arial" w:cs="Arial"/>
          <w:bCs/>
          <w:sz w:val="16"/>
          <w:szCs w:val="16"/>
          <w:lang w:val="es-ES" w:eastAsia="ja-JP"/>
        </w:rPr>
        <w:t>0</w:t>
      </w:r>
      <w:r w:rsidRPr="00C5415A">
        <w:rPr>
          <w:rFonts w:ascii="Arial" w:hAnsi="Arial" w:cs="Arial"/>
          <w:bCs/>
          <w:sz w:val="16"/>
          <w:szCs w:val="16"/>
          <w:lang w:val="es-ES" w:eastAsia="ja-JP"/>
        </w:rPr>
        <w:t xml:space="preserve"> empleados.</w:t>
      </w:r>
    </w:p>
    <w:sectPr w:rsidR="00397DA5" w:rsidRPr="00C5415A" w:rsidSect="00A05ECC">
      <w:headerReference w:type="default" r:id="rId13"/>
      <w:footerReference w:type="default" r:id="rId14"/>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F70" w:rsidRDefault="00684F70" w:rsidP="00420EE9">
      <w:r>
        <w:separator/>
      </w:r>
    </w:p>
  </w:endnote>
  <w:endnote w:type="continuationSeparator" w:id="0">
    <w:p w:rsidR="00684F70" w:rsidRDefault="00684F70"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Interstate Mazda Regular">
    <w:altName w:val="Corbel"/>
    <w:panose1 w:val="02000503020000020004"/>
    <w:charset w:val="00"/>
    <w:family w:val="auto"/>
    <w:pitch w:val="variable"/>
    <w:sig w:usb0="A00002AF" w:usb1="5000206A" w:usb2="00000000" w:usb3="00000000" w:csb0="0000009F" w:csb1="00000000"/>
  </w:font>
  <w:font w:name="Mazda">
    <w:altName w:val="Sitka Small"/>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US" w:eastAsia="en-US"/>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F70" w:rsidRDefault="00684F70" w:rsidP="00420EE9">
      <w:r>
        <w:separator/>
      </w:r>
    </w:p>
  </w:footnote>
  <w:footnote w:type="continuationSeparator" w:id="0">
    <w:p w:rsidR="00684F70" w:rsidRDefault="00684F70"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US" w:eastAsia="en-US"/>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US" w:eastAsia="en-US"/>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647E5"/>
    <w:multiLevelType w:val="hybridMultilevel"/>
    <w:tmpl w:val="C0A27D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3B5682"/>
    <w:multiLevelType w:val="hybridMultilevel"/>
    <w:tmpl w:val="21645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4" w15:restartNumberingAfterBreak="0">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3FF5255"/>
    <w:multiLevelType w:val="hybridMultilevel"/>
    <w:tmpl w:val="ED14CD18"/>
    <w:lvl w:ilvl="0" w:tplc="B9405AD4">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54603DDB"/>
    <w:multiLevelType w:val="hybridMultilevel"/>
    <w:tmpl w:val="54FCC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3"/>
  </w:num>
  <w:num w:numId="4">
    <w:abstractNumId w:val="6"/>
  </w:num>
  <w:num w:numId="5">
    <w:abstractNumId w:val="3"/>
  </w:num>
  <w:num w:numId="6">
    <w:abstractNumId w:val="7"/>
  </w:num>
  <w:num w:numId="7">
    <w:abstractNumId w:val="5"/>
  </w:num>
  <w:num w:numId="8">
    <w:abstractNumId w:val="9"/>
  </w:num>
  <w:num w:numId="9">
    <w:abstractNumId w:val="11"/>
  </w:num>
  <w:num w:numId="10">
    <w:abstractNumId w:val="15"/>
  </w:num>
  <w:num w:numId="11">
    <w:abstractNumId w:val="14"/>
  </w:num>
  <w:num w:numId="12">
    <w:abstractNumId w:val="4"/>
  </w:num>
  <w:num w:numId="13">
    <w:abstractNumId w:val="12"/>
  </w:num>
  <w:num w:numId="14">
    <w:abstractNumId w:val="10"/>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284"/>
  <w:hyphenationZone w:val="425"/>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D80"/>
    <w:rsid w:val="00004575"/>
    <w:rsid w:val="000231A5"/>
    <w:rsid w:val="00024723"/>
    <w:rsid w:val="00026943"/>
    <w:rsid w:val="000309B2"/>
    <w:rsid w:val="0003592C"/>
    <w:rsid w:val="0004170C"/>
    <w:rsid w:val="00043E86"/>
    <w:rsid w:val="000440B1"/>
    <w:rsid w:val="00047642"/>
    <w:rsid w:val="000538D2"/>
    <w:rsid w:val="0006392C"/>
    <w:rsid w:val="00067C58"/>
    <w:rsid w:val="00074D70"/>
    <w:rsid w:val="000809FA"/>
    <w:rsid w:val="000869A9"/>
    <w:rsid w:val="00087BF9"/>
    <w:rsid w:val="00096CF9"/>
    <w:rsid w:val="000B731B"/>
    <w:rsid w:val="000C1BB5"/>
    <w:rsid w:val="000C5466"/>
    <w:rsid w:val="000D4835"/>
    <w:rsid w:val="000F5A1C"/>
    <w:rsid w:val="001017CB"/>
    <w:rsid w:val="001033CF"/>
    <w:rsid w:val="001117E0"/>
    <w:rsid w:val="001314A1"/>
    <w:rsid w:val="00132235"/>
    <w:rsid w:val="001501E1"/>
    <w:rsid w:val="00155404"/>
    <w:rsid w:val="00172815"/>
    <w:rsid w:val="00180228"/>
    <w:rsid w:val="001852B1"/>
    <w:rsid w:val="00191612"/>
    <w:rsid w:val="0019632C"/>
    <w:rsid w:val="001A03C3"/>
    <w:rsid w:val="001C3619"/>
    <w:rsid w:val="001C5466"/>
    <w:rsid w:val="001D0503"/>
    <w:rsid w:val="001D26F8"/>
    <w:rsid w:val="001E7FE7"/>
    <w:rsid w:val="00200314"/>
    <w:rsid w:val="002178DE"/>
    <w:rsid w:val="002429F3"/>
    <w:rsid w:val="00243EE9"/>
    <w:rsid w:val="00247438"/>
    <w:rsid w:val="00263FCC"/>
    <w:rsid w:val="00275FDD"/>
    <w:rsid w:val="0028167B"/>
    <w:rsid w:val="00284EC9"/>
    <w:rsid w:val="002A3006"/>
    <w:rsid w:val="002A5390"/>
    <w:rsid w:val="002A5D71"/>
    <w:rsid w:val="002B09EB"/>
    <w:rsid w:val="002B14BC"/>
    <w:rsid w:val="002B7F97"/>
    <w:rsid w:val="002C1043"/>
    <w:rsid w:val="002C461A"/>
    <w:rsid w:val="002E20A5"/>
    <w:rsid w:val="002E5269"/>
    <w:rsid w:val="002E71E3"/>
    <w:rsid w:val="002F3019"/>
    <w:rsid w:val="002F5DE9"/>
    <w:rsid w:val="00307D2F"/>
    <w:rsid w:val="00313459"/>
    <w:rsid w:val="0031577A"/>
    <w:rsid w:val="00322E93"/>
    <w:rsid w:val="00323961"/>
    <w:rsid w:val="003352AE"/>
    <w:rsid w:val="0034143A"/>
    <w:rsid w:val="00354A1D"/>
    <w:rsid w:val="00356675"/>
    <w:rsid w:val="00363A07"/>
    <w:rsid w:val="0036649E"/>
    <w:rsid w:val="003664A5"/>
    <w:rsid w:val="00385655"/>
    <w:rsid w:val="00385C51"/>
    <w:rsid w:val="00387776"/>
    <w:rsid w:val="003927B1"/>
    <w:rsid w:val="00394DB4"/>
    <w:rsid w:val="003954FB"/>
    <w:rsid w:val="0039676E"/>
    <w:rsid w:val="00397DA5"/>
    <w:rsid w:val="003A0DDB"/>
    <w:rsid w:val="003A1050"/>
    <w:rsid w:val="003A33CF"/>
    <w:rsid w:val="003A3BF5"/>
    <w:rsid w:val="003A59DD"/>
    <w:rsid w:val="003A6425"/>
    <w:rsid w:val="003B30CA"/>
    <w:rsid w:val="003C01E5"/>
    <w:rsid w:val="003C1816"/>
    <w:rsid w:val="003D608A"/>
    <w:rsid w:val="003E09F7"/>
    <w:rsid w:val="003F0297"/>
    <w:rsid w:val="00402149"/>
    <w:rsid w:val="00406672"/>
    <w:rsid w:val="00411B68"/>
    <w:rsid w:val="00416785"/>
    <w:rsid w:val="00420EE9"/>
    <w:rsid w:val="00423D23"/>
    <w:rsid w:val="00430D06"/>
    <w:rsid w:val="00436C7F"/>
    <w:rsid w:val="00452689"/>
    <w:rsid w:val="00454B6B"/>
    <w:rsid w:val="004644FD"/>
    <w:rsid w:val="004740EF"/>
    <w:rsid w:val="0049640B"/>
    <w:rsid w:val="00496AB6"/>
    <w:rsid w:val="004A521F"/>
    <w:rsid w:val="004C0E85"/>
    <w:rsid w:val="004C272B"/>
    <w:rsid w:val="004C5978"/>
    <w:rsid w:val="004D08AE"/>
    <w:rsid w:val="004D4A37"/>
    <w:rsid w:val="00502929"/>
    <w:rsid w:val="00503E11"/>
    <w:rsid w:val="00506FC8"/>
    <w:rsid w:val="005167F3"/>
    <w:rsid w:val="00524F72"/>
    <w:rsid w:val="00531B27"/>
    <w:rsid w:val="00532522"/>
    <w:rsid w:val="0053554C"/>
    <w:rsid w:val="00550962"/>
    <w:rsid w:val="00567832"/>
    <w:rsid w:val="0057223F"/>
    <w:rsid w:val="00572D69"/>
    <w:rsid w:val="00572DDE"/>
    <w:rsid w:val="005758FD"/>
    <w:rsid w:val="0058240B"/>
    <w:rsid w:val="0058313C"/>
    <w:rsid w:val="005A4327"/>
    <w:rsid w:val="005A530D"/>
    <w:rsid w:val="005B156A"/>
    <w:rsid w:val="005B4075"/>
    <w:rsid w:val="005C52F5"/>
    <w:rsid w:val="005D7356"/>
    <w:rsid w:val="005E08B6"/>
    <w:rsid w:val="005E120F"/>
    <w:rsid w:val="005F2DC1"/>
    <w:rsid w:val="005F7E61"/>
    <w:rsid w:val="00600B82"/>
    <w:rsid w:val="00607055"/>
    <w:rsid w:val="00611BD7"/>
    <w:rsid w:val="00624145"/>
    <w:rsid w:val="00624D80"/>
    <w:rsid w:val="00631E63"/>
    <w:rsid w:val="00633ACF"/>
    <w:rsid w:val="006347D2"/>
    <w:rsid w:val="00641AF3"/>
    <w:rsid w:val="00646ECA"/>
    <w:rsid w:val="0066026A"/>
    <w:rsid w:val="006654FA"/>
    <w:rsid w:val="00665E8D"/>
    <w:rsid w:val="00670AA2"/>
    <w:rsid w:val="00673D4D"/>
    <w:rsid w:val="00684F70"/>
    <w:rsid w:val="00694701"/>
    <w:rsid w:val="006A38BC"/>
    <w:rsid w:val="006B1982"/>
    <w:rsid w:val="006B1C47"/>
    <w:rsid w:val="006B4594"/>
    <w:rsid w:val="006B572D"/>
    <w:rsid w:val="006C5A55"/>
    <w:rsid w:val="006D103E"/>
    <w:rsid w:val="006F3B5E"/>
    <w:rsid w:val="006F3E0D"/>
    <w:rsid w:val="006F78B1"/>
    <w:rsid w:val="00707B9F"/>
    <w:rsid w:val="00716007"/>
    <w:rsid w:val="00720927"/>
    <w:rsid w:val="00722AA5"/>
    <w:rsid w:val="00723162"/>
    <w:rsid w:val="007234FD"/>
    <w:rsid w:val="00723BC7"/>
    <w:rsid w:val="00724AF3"/>
    <w:rsid w:val="00725A3C"/>
    <w:rsid w:val="00727739"/>
    <w:rsid w:val="0073109D"/>
    <w:rsid w:val="00731D0F"/>
    <w:rsid w:val="0073477C"/>
    <w:rsid w:val="0074162C"/>
    <w:rsid w:val="00742B3D"/>
    <w:rsid w:val="00746195"/>
    <w:rsid w:val="007552C2"/>
    <w:rsid w:val="00757DE9"/>
    <w:rsid w:val="0076535D"/>
    <w:rsid w:val="00772664"/>
    <w:rsid w:val="0079154E"/>
    <w:rsid w:val="00794FDA"/>
    <w:rsid w:val="007A1028"/>
    <w:rsid w:val="007A297D"/>
    <w:rsid w:val="007A603B"/>
    <w:rsid w:val="007B3C66"/>
    <w:rsid w:val="007B45C5"/>
    <w:rsid w:val="007C2291"/>
    <w:rsid w:val="007C4D75"/>
    <w:rsid w:val="007C5CC5"/>
    <w:rsid w:val="007D3923"/>
    <w:rsid w:val="007D5365"/>
    <w:rsid w:val="007E03B6"/>
    <w:rsid w:val="007F1799"/>
    <w:rsid w:val="007F210D"/>
    <w:rsid w:val="007F7915"/>
    <w:rsid w:val="008025C6"/>
    <w:rsid w:val="00806C09"/>
    <w:rsid w:val="00833E0A"/>
    <w:rsid w:val="0084086A"/>
    <w:rsid w:val="008438AB"/>
    <w:rsid w:val="00850939"/>
    <w:rsid w:val="00853160"/>
    <w:rsid w:val="0085389C"/>
    <w:rsid w:val="00854087"/>
    <w:rsid w:val="008568F3"/>
    <w:rsid w:val="00873EDE"/>
    <w:rsid w:val="00884990"/>
    <w:rsid w:val="008A03DB"/>
    <w:rsid w:val="008A12D6"/>
    <w:rsid w:val="008C14C6"/>
    <w:rsid w:val="008C36B0"/>
    <w:rsid w:val="008E73E0"/>
    <w:rsid w:val="008F15C9"/>
    <w:rsid w:val="008F7A1E"/>
    <w:rsid w:val="00926580"/>
    <w:rsid w:val="00943FA6"/>
    <w:rsid w:val="009443F6"/>
    <w:rsid w:val="00946FCF"/>
    <w:rsid w:val="00956E78"/>
    <w:rsid w:val="0096672B"/>
    <w:rsid w:val="009713EB"/>
    <w:rsid w:val="00984A7A"/>
    <w:rsid w:val="00992533"/>
    <w:rsid w:val="009A18D4"/>
    <w:rsid w:val="009A325C"/>
    <w:rsid w:val="009B2D42"/>
    <w:rsid w:val="009C13FD"/>
    <w:rsid w:val="009D1E23"/>
    <w:rsid w:val="009D2E80"/>
    <w:rsid w:val="009E3090"/>
    <w:rsid w:val="009F1AC5"/>
    <w:rsid w:val="009F2189"/>
    <w:rsid w:val="009F68B7"/>
    <w:rsid w:val="00A0364E"/>
    <w:rsid w:val="00A044EA"/>
    <w:rsid w:val="00A05ECC"/>
    <w:rsid w:val="00A14CA0"/>
    <w:rsid w:val="00A16D29"/>
    <w:rsid w:val="00A25279"/>
    <w:rsid w:val="00A25EAA"/>
    <w:rsid w:val="00A3190C"/>
    <w:rsid w:val="00A37BAC"/>
    <w:rsid w:val="00A37BDB"/>
    <w:rsid w:val="00A43D02"/>
    <w:rsid w:val="00A4562A"/>
    <w:rsid w:val="00A51738"/>
    <w:rsid w:val="00A62460"/>
    <w:rsid w:val="00A650E7"/>
    <w:rsid w:val="00A6658E"/>
    <w:rsid w:val="00A85EBD"/>
    <w:rsid w:val="00AC47C4"/>
    <w:rsid w:val="00AC71F0"/>
    <w:rsid w:val="00AD2DD9"/>
    <w:rsid w:val="00AD35E7"/>
    <w:rsid w:val="00AD40D6"/>
    <w:rsid w:val="00AD544A"/>
    <w:rsid w:val="00AD6212"/>
    <w:rsid w:val="00AF1B01"/>
    <w:rsid w:val="00AF4279"/>
    <w:rsid w:val="00AF7CCC"/>
    <w:rsid w:val="00B003A4"/>
    <w:rsid w:val="00B04986"/>
    <w:rsid w:val="00B104FA"/>
    <w:rsid w:val="00B217E0"/>
    <w:rsid w:val="00B22686"/>
    <w:rsid w:val="00B2717C"/>
    <w:rsid w:val="00B307BF"/>
    <w:rsid w:val="00B368FD"/>
    <w:rsid w:val="00B369CB"/>
    <w:rsid w:val="00B4323A"/>
    <w:rsid w:val="00B46AB2"/>
    <w:rsid w:val="00B67525"/>
    <w:rsid w:val="00B77EA0"/>
    <w:rsid w:val="00B84B81"/>
    <w:rsid w:val="00B90B62"/>
    <w:rsid w:val="00B90FB3"/>
    <w:rsid w:val="00B91DCD"/>
    <w:rsid w:val="00BA5917"/>
    <w:rsid w:val="00BA6F25"/>
    <w:rsid w:val="00BD1459"/>
    <w:rsid w:val="00BD2A36"/>
    <w:rsid w:val="00BD6CDB"/>
    <w:rsid w:val="00BE128D"/>
    <w:rsid w:val="00BE5E3A"/>
    <w:rsid w:val="00BF04FD"/>
    <w:rsid w:val="00C024B9"/>
    <w:rsid w:val="00C16AF5"/>
    <w:rsid w:val="00C17F09"/>
    <w:rsid w:val="00C2116A"/>
    <w:rsid w:val="00C408E7"/>
    <w:rsid w:val="00C412FD"/>
    <w:rsid w:val="00C4132D"/>
    <w:rsid w:val="00C45C92"/>
    <w:rsid w:val="00C50246"/>
    <w:rsid w:val="00C53B4D"/>
    <w:rsid w:val="00C5415A"/>
    <w:rsid w:val="00C547A0"/>
    <w:rsid w:val="00C56540"/>
    <w:rsid w:val="00C570D1"/>
    <w:rsid w:val="00C6295A"/>
    <w:rsid w:val="00C7264C"/>
    <w:rsid w:val="00C73D64"/>
    <w:rsid w:val="00C74ED0"/>
    <w:rsid w:val="00C8215F"/>
    <w:rsid w:val="00C83115"/>
    <w:rsid w:val="00CB0328"/>
    <w:rsid w:val="00CB46BB"/>
    <w:rsid w:val="00CB4CC3"/>
    <w:rsid w:val="00CC2C79"/>
    <w:rsid w:val="00CC50B8"/>
    <w:rsid w:val="00CC7DB3"/>
    <w:rsid w:val="00CD71E5"/>
    <w:rsid w:val="00CE226D"/>
    <w:rsid w:val="00D061DD"/>
    <w:rsid w:val="00D2459A"/>
    <w:rsid w:val="00D256D0"/>
    <w:rsid w:val="00D26216"/>
    <w:rsid w:val="00D30933"/>
    <w:rsid w:val="00D36913"/>
    <w:rsid w:val="00D43E05"/>
    <w:rsid w:val="00D454B5"/>
    <w:rsid w:val="00D57065"/>
    <w:rsid w:val="00D61A81"/>
    <w:rsid w:val="00D706ED"/>
    <w:rsid w:val="00D8127C"/>
    <w:rsid w:val="00D8565D"/>
    <w:rsid w:val="00D86AB3"/>
    <w:rsid w:val="00D87FB7"/>
    <w:rsid w:val="00D9529C"/>
    <w:rsid w:val="00D95CEF"/>
    <w:rsid w:val="00DA317B"/>
    <w:rsid w:val="00DB306C"/>
    <w:rsid w:val="00DC796F"/>
    <w:rsid w:val="00DD442A"/>
    <w:rsid w:val="00DD54B0"/>
    <w:rsid w:val="00DD71F5"/>
    <w:rsid w:val="00E143B3"/>
    <w:rsid w:val="00E24660"/>
    <w:rsid w:val="00E2549B"/>
    <w:rsid w:val="00E5027B"/>
    <w:rsid w:val="00E61E45"/>
    <w:rsid w:val="00E64D03"/>
    <w:rsid w:val="00E71D9A"/>
    <w:rsid w:val="00E7540D"/>
    <w:rsid w:val="00E75FCA"/>
    <w:rsid w:val="00E802CB"/>
    <w:rsid w:val="00E82E3D"/>
    <w:rsid w:val="00E93387"/>
    <w:rsid w:val="00E9763E"/>
    <w:rsid w:val="00EA3F54"/>
    <w:rsid w:val="00EB7282"/>
    <w:rsid w:val="00EC2132"/>
    <w:rsid w:val="00F05DCD"/>
    <w:rsid w:val="00F065B5"/>
    <w:rsid w:val="00F212DB"/>
    <w:rsid w:val="00F25543"/>
    <w:rsid w:val="00F26AA0"/>
    <w:rsid w:val="00F32B8C"/>
    <w:rsid w:val="00F35F99"/>
    <w:rsid w:val="00F42365"/>
    <w:rsid w:val="00F43E1B"/>
    <w:rsid w:val="00F441D7"/>
    <w:rsid w:val="00F50071"/>
    <w:rsid w:val="00F52EF4"/>
    <w:rsid w:val="00F57D7B"/>
    <w:rsid w:val="00F65147"/>
    <w:rsid w:val="00F725CF"/>
    <w:rsid w:val="00F73C28"/>
    <w:rsid w:val="00F85EC0"/>
    <w:rsid w:val="00F86ADC"/>
    <w:rsid w:val="00F87221"/>
    <w:rsid w:val="00F90F06"/>
    <w:rsid w:val="00F94AEF"/>
    <w:rsid w:val="00F96196"/>
    <w:rsid w:val="00F96C6B"/>
    <w:rsid w:val="00FA2858"/>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5:docId w15:val="{46959B7D-628D-4EE7-8014-DD86F95E2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03592C"/>
    <w:rPr>
      <w:sz w:val="20"/>
      <w:szCs w:val="20"/>
      <w:lang w:val="es-ES" w:eastAsia="es-ES" w:bidi="es-ES"/>
    </w:rPr>
  </w:style>
  <w:style w:type="character" w:customStyle="1" w:styleId="FootnoteTextChar">
    <w:name w:val="Footnote Text Char"/>
    <w:basedOn w:val="DefaultParagraphFont"/>
    <w:link w:val="FootnoteText"/>
    <w:uiPriority w:val="99"/>
    <w:semiHidden/>
    <w:rsid w:val="0003592C"/>
    <w:rPr>
      <w:sz w:val="20"/>
      <w:szCs w:val="20"/>
      <w:lang w:val="es-ES" w:eastAsia="es-ES" w:bidi="es-ES"/>
    </w:rPr>
  </w:style>
  <w:style w:type="character" w:styleId="FootnoteReference">
    <w:name w:val="footnote reference"/>
    <w:basedOn w:val="DefaultParagraphFont"/>
    <w:uiPriority w:val="99"/>
    <w:semiHidden/>
    <w:unhideWhenUsed/>
    <w:rsid w:val="000359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2939">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488330123">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310990">
      <w:bodyDiv w:val="1"/>
      <w:marLeft w:val="0"/>
      <w:marRight w:val="0"/>
      <w:marTop w:val="0"/>
      <w:marBottom w:val="0"/>
      <w:divBdr>
        <w:top w:val="none" w:sz="0" w:space="0" w:color="auto"/>
        <w:left w:val="none" w:sz="0" w:space="0" w:color="auto"/>
        <w:bottom w:val="none" w:sz="0" w:space="0" w:color="auto"/>
        <w:right w:val="none" w:sz="0" w:space="0" w:color="auto"/>
      </w:divBdr>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667709007">
      <w:bodyDiv w:val="1"/>
      <w:marLeft w:val="0"/>
      <w:marRight w:val="0"/>
      <w:marTop w:val="0"/>
      <w:marBottom w:val="0"/>
      <w:divBdr>
        <w:top w:val="none" w:sz="0" w:space="0" w:color="auto"/>
        <w:left w:val="none" w:sz="0" w:space="0" w:color="auto"/>
        <w:bottom w:val="none" w:sz="0" w:space="0" w:color="auto"/>
        <w:right w:val="none" w:sz="0" w:space="0" w:color="auto"/>
      </w:divBdr>
    </w:div>
    <w:div w:id="743182039">
      <w:bodyDiv w:val="1"/>
      <w:marLeft w:val="0"/>
      <w:marRight w:val="0"/>
      <w:marTop w:val="0"/>
      <w:marBottom w:val="0"/>
      <w:divBdr>
        <w:top w:val="none" w:sz="0" w:space="0" w:color="auto"/>
        <w:left w:val="none" w:sz="0" w:space="0" w:color="auto"/>
        <w:bottom w:val="none" w:sz="0" w:space="0" w:color="auto"/>
        <w:right w:val="none" w:sz="0" w:space="0" w:color="auto"/>
      </w:divBdr>
    </w:div>
    <w:div w:id="746457757">
      <w:bodyDiv w:val="1"/>
      <w:marLeft w:val="0"/>
      <w:marRight w:val="0"/>
      <w:marTop w:val="0"/>
      <w:marBottom w:val="0"/>
      <w:divBdr>
        <w:top w:val="none" w:sz="0" w:space="0" w:color="auto"/>
        <w:left w:val="none" w:sz="0" w:space="0" w:color="auto"/>
        <w:bottom w:val="none" w:sz="0" w:space="0" w:color="auto"/>
        <w:right w:val="none" w:sz="0" w:space="0" w:color="auto"/>
      </w:divBdr>
    </w:div>
    <w:div w:id="768739955">
      <w:bodyDiv w:val="1"/>
      <w:marLeft w:val="0"/>
      <w:marRight w:val="0"/>
      <w:marTop w:val="0"/>
      <w:marBottom w:val="0"/>
      <w:divBdr>
        <w:top w:val="none" w:sz="0" w:space="0" w:color="auto"/>
        <w:left w:val="none" w:sz="0" w:space="0" w:color="auto"/>
        <w:bottom w:val="none" w:sz="0" w:space="0" w:color="auto"/>
        <w:right w:val="none" w:sz="0" w:space="0" w:color="auto"/>
      </w:divBdr>
    </w:div>
    <w:div w:id="808321747">
      <w:bodyDiv w:val="1"/>
      <w:marLeft w:val="0"/>
      <w:marRight w:val="0"/>
      <w:marTop w:val="0"/>
      <w:marBottom w:val="0"/>
      <w:divBdr>
        <w:top w:val="none" w:sz="0" w:space="0" w:color="auto"/>
        <w:left w:val="none" w:sz="0" w:space="0" w:color="auto"/>
        <w:bottom w:val="none" w:sz="0" w:space="0" w:color="auto"/>
        <w:right w:val="none" w:sz="0" w:space="0" w:color="auto"/>
      </w:divBdr>
    </w:div>
    <w:div w:id="984432986">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144618982">
      <w:bodyDiv w:val="1"/>
      <w:marLeft w:val="0"/>
      <w:marRight w:val="0"/>
      <w:marTop w:val="0"/>
      <w:marBottom w:val="0"/>
      <w:divBdr>
        <w:top w:val="none" w:sz="0" w:space="0" w:color="auto"/>
        <w:left w:val="none" w:sz="0" w:space="0" w:color="auto"/>
        <w:bottom w:val="none" w:sz="0" w:space="0" w:color="auto"/>
        <w:right w:val="none" w:sz="0" w:space="0" w:color="auto"/>
      </w:divBdr>
    </w:div>
    <w:div w:id="1167937906">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05585217">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180151">
      <w:bodyDiv w:val="1"/>
      <w:marLeft w:val="0"/>
      <w:marRight w:val="0"/>
      <w:marTop w:val="0"/>
      <w:marBottom w:val="0"/>
      <w:divBdr>
        <w:top w:val="none" w:sz="0" w:space="0" w:color="auto"/>
        <w:left w:val="none" w:sz="0" w:space="0" w:color="auto"/>
        <w:bottom w:val="none" w:sz="0" w:space="0" w:color="auto"/>
        <w:right w:val="none" w:sz="0" w:space="0" w:color="auto"/>
      </w:divBdr>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762529840">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arcia@mazdaeur.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Mazda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da.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zda-press.es" TargetMode="External"/><Relationship Id="rId4" Type="http://schemas.openxmlformats.org/officeDocument/2006/relationships/settings" Target="settings.xml"/><Relationship Id="rId9" Type="http://schemas.openxmlformats.org/officeDocument/2006/relationships/hyperlink" Target="mailto:mrivas@mazdaeur.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86314-2F6D-467C-BA5B-F9AD47E6C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821</Words>
  <Characters>4680</Characters>
  <Application>Microsoft Office Word</Application>
  <DocSecurity>0</DocSecurity>
  <Lines>39</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Talavera, Hector (H.)</dc:creator>
  <cp:lastModifiedBy>Pleguezuelo, Lucía (L.)</cp:lastModifiedBy>
  <cp:revision>5</cp:revision>
  <cp:lastPrinted>2018-09-03T09:51:00Z</cp:lastPrinted>
  <dcterms:created xsi:type="dcterms:W3CDTF">2018-10-02T06:52:00Z</dcterms:created>
  <dcterms:modified xsi:type="dcterms:W3CDTF">2018-10-02T08:42:00Z</dcterms:modified>
</cp:coreProperties>
</file>